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body>
    <w:p w:rsidRPr="00B205D7" w:rsidR="003123D6" w:rsidP="003123D6" w:rsidRDefault="003123D6" w14:paraId="18E2940F" w14:textId="77777777">
      <w:pPr>
        <w:jc w:val="right"/>
        <w:outlineLvl w:val="0"/>
      </w:pPr>
      <w:bookmarkStart w:name="_GoBack" w:id="0"/>
      <w:bookmarkEnd w:id="0"/>
      <w:r w:rsidRPr="00B205D7">
        <w:rPr>
          <w:highlight w:val="yellow"/>
        </w:rPr>
        <w:t>DETAINED</w:t>
      </w:r>
    </w:p>
    <w:p w:rsidRPr="00B205D7" w:rsidR="003123D6" w:rsidP="003123D6" w:rsidRDefault="003123D6" w14:paraId="4756B979" w14:textId="77777777">
      <w:pPr>
        <w:outlineLvl w:val="0"/>
      </w:pPr>
      <w:proofErr w:type="spellStart"/>
      <w:r w:rsidRPr="00B205D7">
        <w:t>Anjum</w:t>
      </w:r>
      <w:proofErr w:type="spellEnd"/>
      <w:r w:rsidRPr="00B205D7">
        <w:t xml:space="preserve"> Gupta</w:t>
      </w:r>
    </w:p>
    <w:p w:rsidRPr="00B205D7" w:rsidR="003123D6" w:rsidP="003123D6" w:rsidRDefault="003123D6" w14:paraId="65162F5F" w14:textId="77777777">
      <w:r w:rsidRPr="00B205D7">
        <w:t>Immigrant Rights Clinic</w:t>
      </w:r>
    </w:p>
    <w:p w:rsidRPr="00B205D7" w:rsidR="003123D6" w:rsidP="003123D6" w:rsidRDefault="003123D6" w14:paraId="1F24363E" w14:textId="43E2E104">
      <w:r w:rsidRPr="00B205D7">
        <w:t xml:space="preserve">Rutgers </w:t>
      </w:r>
      <w:r w:rsidR="00681E13">
        <w:t>Law School</w:t>
      </w:r>
    </w:p>
    <w:p w:rsidRPr="00B205D7" w:rsidR="003123D6" w:rsidP="003123D6" w:rsidRDefault="003123D6" w14:paraId="4B419D1F" w14:textId="77777777">
      <w:r w:rsidRPr="00B205D7">
        <w:t>123 Washington Street, 4th Floor</w:t>
      </w:r>
    </w:p>
    <w:p w:rsidRPr="00B205D7" w:rsidR="003123D6" w:rsidP="003123D6" w:rsidRDefault="003123D6" w14:paraId="2F359BBC" w14:textId="77777777">
      <w:r w:rsidRPr="00B205D7">
        <w:t>Newark, NJ 07102</w:t>
      </w:r>
    </w:p>
    <w:p w:rsidRPr="00B205D7" w:rsidR="003123D6" w:rsidP="003123D6" w:rsidRDefault="003123D6" w14:paraId="36A43D3C" w14:textId="77777777">
      <w:r w:rsidRPr="00B205D7">
        <w:t>(973) 353-5292</w:t>
      </w:r>
    </w:p>
    <w:p w:rsidRPr="00B205D7" w:rsidR="003123D6" w:rsidP="003123D6" w:rsidRDefault="003123D6" w14:paraId="55CDFAA4" w14:textId="77777777"/>
    <w:p w:rsidRPr="00B205D7" w:rsidR="003123D6" w:rsidP="003123D6" w:rsidRDefault="003123D6" w14:paraId="5A15493B" w14:textId="77777777"/>
    <w:p w:rsidRPr="00B205D7" w:rsidR="003123D6" w:rsidP="003123D6" w:rsidRDefault="003123D6" w14:paraId="7DA74C99" w14:textId="77777777"/>
    <w:p w:rsidRPr="00B205D7" w:rsidR="003123D6" w:rsidP="003123D6" w:rsidRDefault="003123D6" w14:paraId="16328691" w14:textId="77777777"/>
    <w:p w:rsidRPr="00B205D7" w:rsidR="003123D6" w:rsidP="003123D6" w:rsidRDefault="003123D6" w14:paraId="2B611B41" w14:textId="77777777">
      <w:pPr>
        <w:jc w:val="center"/>
        <w:outlineLvl w:val="0"/>
      </w:pPr>
      <w:r w:rsidRPr="00B205D7">
        <w:t>UNITED STATES DEPARTMENT OF JUSTICE</w:t>
      </w:r>
    </w:p>
    <w:p w:rsidRPr="00B205D7" w:rsidR="003123D6" w:rsidP="003123D6" w:rsidRDefault="003123D6" w14:paraId="475F5764" w14:textId="77777777">
      <w:pPr>
        <w:jc w:val="center"/>
      </w:pPr>
      <w:r w:rsidRPr="00B205D7">
        <w:t>EXECUTIVE OFFICE FOR IMMIGRATION REVIEW</w:t>
      </w:r>
    </w:p>
    <w:p w:rsidRPr="00B205D7" w:rsidR="003123D6" w:rsidP="003123D6" w:rsidRDefault="003123D6" w14:paraId="2FA87BCF" w14:textId="77777777">
      <w:pPr>
        <w:jc w:val="center"/>
      </w:pPr>
      <w:r w:rsidRPr="00B205D7">
        <w:t>BOARD OF IMMIGRATION APPEALS</w:t>
      </w:r>
    </w:p>
    <w:p w:rsidRPr="00B205D7" w:rsidR="003123D6" w:rsidP="003123D6" w:rsidRDefault="003123D6" w14:paraId="6DA27DED" w14:textId="77777777">
      <w:pPr>
        <w:jc w:val="center"/>
      </w:pPr>
    </w:p>
    <w:p w:rsidRPr="00B205D7" w:rsidR="003123D6" w:rsidP="003123D6" w:rsidRDefault="003123D6" w14:paraId="0DC5E31D" w14:textId="77777777">
      <w:pPr>
        <w:jc w:val="center"/>
      </w:pPr>
    </w:p>
    <w:p w:rsidRPr="00B205D7" w:rsidR="003123D6" w:rsidP="003123D6" w:rsidRDefault="003123D6" w14:paraId="7BA6864E" w14:textId="77777777">
      <w:pPr>
        <w:jc w:val="center"/>
      </w:pPr>
    </w:p>
    <w:p w:rsidRPr="00B205D7" w:rsidR="003123D6" w:rsidP="003123D6" w:rsidRDefault="003123D6" w14:paraId="3E7B5612" w14:textId="77777777">
      <w:r w:rsidRPr="00B205D7">
        <w:t>__________________________________</w:t>
      </w:r>
    </w:p>
    <w:p w:rsidRPr="00B205D7" w:rsidR="003123D6" w:rsidP="003123D6" w:rsidRDefault="003123D6" w14:paraId="1CA1D492" w14:textId="77777777">
      <w:r w:rsidRPr="00B205D7">
        <w:tab/>
      </w:r>
      <w:r w:rsidRPr="00B205D7">
        <w:tab/>
      </w:r>
      <w:r w:rsidRPr="00B205D7">
        <w:tab/>
      </w:r>
      <w:r w:rsidRPr="00B205D7">
        <w:tab/>
      </w:r>
      <w:r w:rsidRPr="00B205D7">
        <w:tab/>
      </w:r>
      <w:r w:rsidRPr="00B205D7">
        <w:tab/>
      </w:r>
      <w:r w:rsidRPr="00B205D7">
        <w:t>)</w:t>
      </w:r>
    </w:p>
    <w:p w:rsidRPr="00B205D7" w:rsidR="003123D6" w:rsidP="003123D6" w:rsidRDefault="003123D6" w14:paraId="0764AB53" w14:textId="77777777">
      <w:r w:rsidRPr="00B205D7">
        <w:t>In the Matter of:</w:t>
      </w:r>
      <w:r w:rsidRPr="00B205D7">
        <w:tab/>
      </w:r>
      <w:r w:rsidRPr="00B205D7">
        <w:tab/>
      </w:r>
      <w:r w:rsidRPr="00B205D7">
        <w:tab/>
      </w:r>
      <w:r w:rsidRPr="00B205D7">
        <w:tab/>
      </w:r>
      <w:r w:rsidRPr="00B205D7">
        <w:t>)</w:t>
      </w:r>
    </w:p>
    <w:p w:rsidRPr="00B205D7" w:rsidR="003123D6" w:rsidP="003123D6" w:rsidRDefault="003123D6" w14:paraId="3C0D512A" w14:textId="77777777">
      <w:r w:rsidRPr="00B205D7">
        <w:tab/>
      </w:r>
      <w:r w:rsidRPr="00B205D7">
        <w:tab/>
      </w:r>
      <w:r w:rsidRPr="00B205D7">
        <w:tab/>
      </w:r>
      <w:r w:rsidRPr="00B205D7">
        <w:tab/>
      </w:r>
      <w:r w:rsidRPr="00B205D7">
        <w:tab/>
      </w:r>
      <w:r w:rsidRPr="00B205D7">
        <w:tab/>
      </w:r>
      <w:r w:rsidRPr="00B205D7">
        <w:t>)</w:t>
      </w:r>
    </w:p>
    <w:p w:rsidRPr="00B205D7" w:rsidR="003123D6" w:rsidP="003123D6" w:rsidRDefault="00706EEB" w14:paraId="65EF9312" w14:textId="54A36373">
      <w:r w:rsidR="00706EEB">
        <w:rPr/>
        <w:t>A-</w:t>
      </w:r>
      <w:r w:rsidRPr="00B205D7" w:rsidR="003123D6">
        <w:rPr/>
        <w:t xml:space="preserve"> </w:t>
      </w:r>
      <w:r w:rsidR="00706EEB">
        <w:rPr/>
        <w:t>C-T-</w:t>
      </w:r>
      <w:r w:rsidRPr="00B205D7" w:rsidR="003123D6">
        <w:tab/>
      </w:r>
      <w:r>
        <w:tab/>
      </w:r>
      <w:r>
        <w:tab/>
      </w:r>
      <w:r w:rsidRPr="00B205D7" w:rsidR="003123D6">
        <w:tab/>
      </w:r>
      <w:r w:rsidRPr="00B205D7" w:rsidR="003123D6">
        <w:tab/>
      </w:r>
      <w:r w:rsidRPr="00B205D7" w:rsidR="003123D6">
        <w:rPr/>
        <w:t>)</w:t>
      </w:r>
      <w:r w:rsidRPr="00B205D7" w:rsidR="003123D6">
        <w:tab/>
      </w:r>
      <w:r w:rsidRPr="00B205D7" w:rsidR="003123D6">
        <w:rPr/>
        <w:t>File No.:</w:t>
      </w:r>
      <w:r w:rsidRPr="00B205D7" w:rsidR="003123D6">
        <w:tab/>
      </w:r>
      <w:r w:rsidRPr="00B205D7" w:rsidR="003123D6">
        <w:tab/>
      </w:r>
      <w:r w:rsidRPr="00B205D7" w:rsidR="003123D6">
        <w:rPr/>
        <w:t>A-</w:t>
      </w:r>
      <w:r w:rsidRPr="00B205D7" w:rsidR="79F54AAD">
        <w:rPr/>
        <w:t xml:space="preserve"> </w:t>
      </w:r>
    </w:p>
    <w:p w:rsidRPr="00B205D7" w:rsidR="003123D6" w:rsidP="003123D6" w:rsidRDefault="003123D6" w14:paraId="32E9F913" w14:textId="77777777">
      <w:r w:rsidRPr="00B205D7">
        <w:tab/>
      </w:r>
      <w:r w:rsidRPr="00B205D7">
        <w:tab/>
      </w:r>
      <w:r w:rsidRPr="00B205D7">
        <w:tab/>
      </w:r>
      <w:r w:rsidRPr="00B205D7">
        <w:tab/>
      </w:r>
      <w:r w:rsidRPr="00B205D7">
        <w:tab/>
      </w:r>
      <w:r w:rsidRPr="00B205D7">
        <w:tab/>
      </w:r>
      <w:r w:rsidRPr="00B205D7">
        <w:t>)</w:t>
      </w:r>
    </w:p>
    <w:p w:rsidRPr="00B205D7" w:rsidR="003123D6" w:rsidP="003123D6" w:rsidRDefault="003123D6" w14:paraId="55051815" w14:textId="77777777">
      <w:r w:rsidRPr="00B205D7">
        <w:tab/>
      </w:r>
      <w:r w:rsidRPr="00B205D7">
        <w:tab/>
      </w:r>
      <w:r w:rsidRPr="00B205D7">
        <w:tab/>
      </w:r>
      <w:r w:rsidRPr="00B205D7">
        <w:tab/>
      </w:r>
      <w:r w:rsidRPr="00B205D7">
        <w:tab/>
      </w:r>
      <w:r w:rsidRPr="00B205D7">
        <w:tab/>
      </w:r>
      <w:r w:rsidRPr="00B205D7">
        <w:t>)</w:t>
      </w:r>
    </w:p>
    <w:p w:rsidRPr="00B205D7" w:rsidR="003123D6" w:rsidP="003123D6" w:rsidRDefault="003123D6" w14:paraId="3F79B0BA" w14:textId="77777777">
      <w:r w:rsidRPr="00B205D7">
        <w:tab/>
      </w:r>
      <w:r w:rsidRPr="00B205D7">
        <w:tab/>
      </w:r>
      <w:r w:rsidRPr="00B205D7">
        <w:tab/>
      </w:r>
      <w:r w:rsidRPr="00B205D7">
        <w:tab/>
      </w:r>
      <w:r w:rsidRPr="00B205D7">
        <w:tab/>
      </w:r>
      <w:r w:rsidRPr="00B205D7">
        <w:tab/>
      </w:r>
      <w:r w:rsidRPr="00B205D7">
        <w:t>)</w:t>
      </w:r>
    </w:p>
    <w:p w:rsidRPr="00B205D7" w:rsidR="003123D6" w:rsidP="003123D6" w:rsidRDefault="003123D6" w14:paraId="3A7D93E8" w14:textId="77777777">
      <w:r w:rsidRPr="00B205D7">
        <w:t>In removal proceedings</w:t>
      </w:r>
      <w:r w:rsidRPr="00B205D7">
        <w:tab/>
      </w:r>
      <w:r w:rsidRPr="00B205D7">
        <w:tab/>
      </w:r>
      <w:r w:rsidRPr="00B205D7">
        <w:tab/>
      </w:r>
      <w:r w:rsidRPr="00B205D7">
        <w:t>)</w:t>
      </w:r>
    </w:p>
    <w:p w:rsidRPr="00B205D7" w:rsidR="003123D6" w:rsidP="003123D6" w:rsidRDefault="003123D6" w14:paraId="7E9FF7EE" w14:textId="77777777">
      <w:r w:rsidRPr="00B205D7">
        <w:t>___________________________________</w:t>
      </w:r>
      <w:r w:rsidRPr="00B205D7">
        <w:tab/>
      </w:r>
      <w:r w:rsidRPr="00B205D7">
        <w:t>)</w:t>
      </w:r>
    </w:p>
    <w:p w:rsidRPr="00B205D7" w:rsidR="003123D6" w:rsidP="003123D6" w:rsidRDefault="003123D6" w14:paraId="59F75EB2" w14:textId="77777777">
      <w:pPr>
        <w:spacing w:line="480" w:lineRule="auto"/>
      </w:pPr>
    </w:p>
    <w:p w:rsidRPr="00B205D7" w:rsidR="003123D6" w:rsidP="003123D6" w:rsidRDefault="003123D6" w14:paraId="01F8A89C" w14:textId="77777777">
      <w:pPr>
        <w:spacing w:line="480" w:lineRule="auto"/>
        <w:rPr>
          <w:u w:val="single"/>
        </w:rPr>
      </w:pPr>
    </w:p>
    <w:p w:rsidRPr="00B205D7" w:rsidR="003123D6" w:rsidP="003123D6" w:rsidRDefault="003123D6" w14:paraId="3B692943" w14:textId="77777777">
      <w:pPr>
        <w:spacing w:line="480" w:lineRule="auto"/>
        <w:jc w:val="center"/>
        <w:rPr>
          <w:u w:val="single"/>
        </w:rPr>
      </w:pPr>
    </w:p>
    <w:p w:rsidRPr="00B205D7" w:rsidR="003123D6" w:rsidP="003123D6" w:rsidRDefault="003123D6" w14:paraId="4C60B8D9" w14:textId="77777777">
      <w:pPr>
        <w:spacing w:line="480" w:lineRule="auto"/>
        <w:jc w:val="center"/>
        <w:rPr>
          <w:u w:val="single"/>
        </w:rPr>
      </w:pPr>
    </w:p>
    <w:p w:rsidRPr="00B205D7" w:rsidR="003123D6" w:rsidP="003123D6" w:rsidRDefault="003123D6" w14:paraId="35A02E94" w14:textId="4E9AF7D9">
      <w:pPr>
        <w:jc w:val="center"/>
      </w:pPr>
      <w:r w:rsidRPr="00B205D7">
        <w:t xml:space="preserve">RESPONDENT’S BRIEF IN SUPPORT OF APPEAL </w:t>
      </w:r>
      <w:r w:rsidRPr="00B205D7" w:rsidR="004807DC">
        <w:t>OF IMMIGRTION JUDGE</w:t>
      </w:r>
      <w:r w:rsidR="00E702F1">
        <w:t>’</w:t>
      </w:r>
      <w:r w:rsidRPr="00B205D7" w:rsidR="004807DC">
        <w:t>S DENIAL OF WITHHOLDING O</w:t>
      </w:r>
      <w:r w:rsidRPr="00B205D7" w:rsidR="00AA2B4E">
        <w:t>F</w:t>
      </w:r>
      <w:r w:rsidRPr="00B205D7" w:rsidR="004807DC">
        <w:t xml:space="preserve"> REMOVAL AND CONVENTION AGAINST TORTURE</w:t>
      </w:r>
      <w:r w:rsidRPr="00B205D7" w:rsidR="00AA2B4E">
        <w:t xml:space="preserve"> RELIEF</w:t>
      </w:r>
    </w:p>
    <w:p w:rsidRPr="00B205D7" w:rsidR="003123D6" w:rsidP="003123D6" w:rsidRDefault="003123D6" w14:paraId="5D27C41F" w14:textId="77777777">
      <w:pPr>
        <w:spacing w:line="480" w:lineRule="auto"/>
      </w:pPr>
    </w:p>
    <w:p w:rsidRPr="00B205D7" w:rsidR="003123D6" w:rsidP="003123D6" w:rsidRDefault="003123D6" w14:paraId="599BC9BA" w14:textId="77777777">
      <w:pPr>
        <w:spacing w:line="480" w:lineRule="auto"/>
      </w:pPr>
    </w:p>
    <w:p w:rsidRPr="00B205D7" w:rsidR="003123D6" w:rsidP="003123D6" w:rsidRDefault="003123D6" w14:paraId="4896D70F" w14:textId="77777777">
      <w:pPr>
        <w:spacing w:line="480" w:lineRule="auto"/>
      </w:pPr>
    </w:p>
    <w:p w:rsidRPr="00B205D7" w:rsidR="003123D6" w:rsidP="003123D6" w:rsidRDefault="003123D6" w14:paraId="5DC54944" w14:textId="77777777">
      <w:pPr>
        <w:spacing w:line="480" w:lineRule="auto"/>
        <w:jc w:val="center"/>
        <w:outlineLvl w:val="0"/>
      </w:pPr>
    </w:p>
    <w:p w:rsidRPr="00B205D7" w:rsidR="003123D6" w:rsidP="003123D6" w:rsidRDefault="003123D6" w14:paraId="7498A857" w14:textId="77777777">
      <w:pPr>
        <w:spacing w:line="480" w:lineRule="auto"/>
        <w:jc w:val="center"/>
        <w:outlineLvl w:val="0"/>
      </w:pPr>
    </w:p>
    <w:p w:rsidRPr="00B205D7" w:rsidR="00304114" w:rsidP="00304114" w:rsidRDefault="00304114" w14:paraId="53AA6783" w14:textId="77777777">
      <w:pPr>
        <w:spacing w:line="480" w:lineRule="auto"/>
        <w:jc w:val="center"/>
        <w:outlineLvl w:val="0"/>
        <w:rPr>
          <w:b/>
          <w:u w:val="single"/>
        </w:rPr>
      </w:pPr>
      <w:r w:rsidRPr="00B205D7">
        <w:rPr>
          <w:b/>
          <w:noProof/>
          <w:u w:val="single"/>
          <w:lang w:eastAsia="en-US"/>
        </w:rPr>
        <w:lastRenderedPageBreak/>
        <mc:AlternateContent>
          <mc:Choice Requires="wps">
            <w:drawing>
              <wp:anchor distT="0" distB="0" distL="114300" distR="114300" simplePos="0" relativeHeight="251659264" behindDoc="0" locked="0" layoutInCell="1" allowOverlap="1" wp14:anchorId="02D336C8" wp14:editId="7BE94E10">
                <wp:simplePos x="0" y="0"/>
                <wp:positionH relativeFrom="column">
                  <wp:posOffset>5953328</wp:posOffset>
                </wp:positionH>
                <wp:positionV relativeFrom="paragraph">
                  <wp:posOffset>350196</wp:posOffset>
                </wp:positionV>
                <wp:extent cx="252919" cy="7033098"/>
                <wp:effectExtent l="0" t="0" r="1270" b="3175"/>
                <wp:wrapNone/>
                <wp:docPr id="7" name="Text Box 7"/>
                <wp:cNvGraphicFramePr/>
                <a:graphic xmlns:a="http://schemas.openxmlformats.org/drawingml/2006/main">
                  <a:graphicData uri="http://schemas.microsoft.com/office/word/2010/wordprocessingShape">
                    <wps:wsp>
                      <wps:cNvSpPr txBox="1"/>
                      <wps:spPr>
                        <a:xfrm>
                          <a:off x="0" y="0"/>
                          <a:ext cx="252919" cy="7033098"/>
                        </a:xfrm>
                        <a:prstGeom prst="rect">
                          <a:avLst/>
                        </a:prstGeom>
                        <a:solidFill>
                          <a:schemeClr val="lt1"/>
                        </a:solidFill>
                        <a:ln w="6350">
                          <a:noFill/>
                        </a:ln>
                      </wps:spPr>
                      <wps:txbx>
                        <w:txbxContent>
                          <w:p w:rsidR="0081089D" w:rsidP="00304114" w:rsidRDefault="0081089D" w14:paraId="3AF9B777" w14:textId="46B6003E">
                            <w:r>
                              <w:t>2</w:t>
                            </w:r>
                          </w:p>
                          <w:p w:rsidR="0081089D" w:rsidP="00304114" w:rsidRDefault="0081089D" w14:paraId="19003430" w14:textId="77777777"/>
                          <w:p w:rsidR="0081089D" w:rsidP="00304114" w:rsidRDefault="0081089D" w14:paraId="37DED4C1" w14:textId="02BF0D65">
                            <w:r>
                              <w:t>2</w:t>
                            </w:r>
                          </w:p>
                          <w:p w:rsidR="0081089D" w:rsidP="00304114" w:rsidRDefault="0081089D" w14:paraId="7A94B63E" w14:textId="77777777"/>
                          <w:p w:rsidR="0081089D" w:rsidP="00304114" w:rsidRDefault="0081089D" w14:paraId="36206953" w14:textId="76717FCE">
                            <w:r>
                              <w:t>5</w:t>
                            </w:r>
                          </w:p>
                          <w:p w:rsidR="0081089D" w:rsidP="00304114" w:rsidRDefault="0081089D" w14:paraId="14757849" w14:textId="77777777"/>
                          <w:p w:rsidR="0081089D" w:rsidP="00304114" w:rsidRDefault="002B4E40" w14:paraId="799447E8" w14:textId="26FFCB66">
                            <w:r>
                              <w:t>7</w:t>
                            </w:r>
                          </w:p>
                          <w:p w:rsidR="0081089D" w:rsidP="00304114" w:rsidRDefault="0081089D" w14:paraId="489782BF" w14:textId="77777777"/>
                          <w:p w:rsidR="0081089D" w:rsidP="00304114" w:rsidRDefault="005E7797" w14:paraId="777FAFC7" w14:textId="48E15914">
                            <w:r>
                              <w:t>8</w:t>
                            </w:r>
                          </w:p>
                          <w:p w:rsidR="0081089D" w:rsidP="00304114" w:rsidRDefault="0081089D" w14:paraId="78874FB0" w14:textId="77777777"/>
                          <w:p w:rsidR="0081089D" w:rsidP="00304114" w:rsidRDefault="002B4E40" w14:paraId="7A091070" w14:textId="5BB0C198">
                            <w:r>
                              <w:t>8</w:t>
                            </w:r>
                          </w:p>
                          <w:p w:rsidR="0081089D" w:rsidP="00304114" w:rsidRDefault="0081089D" w14:paraId="48C8A27B" w14:textId="77777777"/>
                          <w:p w:rsidR="0081089D" w:rsidP="00304114" w:rsidRDefault="00124A0C" w14:paraId="540E2405" w14:textId="6777DE48">
                            <w:r>
                              <w:t>9</w:t>
                            </w:r>
                          </w:p>
                          <w:p w:rsidR="0081089D" w:rsidP="00304114" w:rsidRDefault="0081089D" w14:paraId="3D88BDC4" w14:textId="7B40F0CE"/>
                          <w:p w:rsidR="0081089D" w:rsidP="00304114" w:rsidRDefault="0081089D" w14:paraId="41E4DBE6" w14:textId="77777777"/>
                          <w:p w:rsidR="0081089D" w:rsidP="00304114" w:rsidRDefault="00124A0C" w14:paraId="03D4DC47" w14:textId="7C976E68">
                            <w:r>
                              <w:t>9</w:t>
                            </w:r>
                          </w:p>
                          <w:p w:rsidR="0081089D" w:rsidP="00304114" w:rsidRDefault="0081089D" w14:paraId="18133B7B" w14:textId="0563000E"/>
                          <w:p w:rsidR="0081089D" w:rsidP="00304114" w:rsidRDefault="00124A0C" w14:paraId="34DD8D30" w14:textId="58738E74">
                            <w:r>
                              <w:t>9</w:t>
                            </w:r>
                          </w:p>
                          <w:p w:rsidR="0081089D" w:rsidP="00304114" w:rsidRDefault="0081089D" w14:paraId="327E4A6C" w14:textId="679F3D11"/>
                          <w:p w:rsidR="0081089D" w:rsidP="00304114" w:rsidRDefault="0081089D" w14:paraId="31F9DEDC" w14:textId="77777777"/>
                          <w:p w:rsidR="0081089D" w:rsidP="00304114" w:rsidRDefault="0081089D" w14:paraId="59E77EA7" w14:textId="4205DE3F">
                            <w:r>
                              <w:t>1</w:t>
                            </w:r>
                            <w:r w:rsidR="00124A0C">
                              <w:t>0</w:t>
                            </w:r>
                          </w:p>
                          <w:p w:rsidR="0081089D" w:rsidP="00304114" w:rsidRDefault="0081089D" w14:paraId="20F2B99E" w14:textId="213209F3"/>
                          <w:p w:rsidR="0081089D" w:rsidP="00304114" w:rsidRDefault="0081089D" w14:paraId="1AC799EC" w14:textId="77777777"/>
                          <w:p w:rsidR="0081089D" w:rsidP="00304114" w:rsidRDefault="0081089D" w14:paraId="7668BD0F" w14:textId="0CC21823"/>
                          <w:p w:rsidR="0081089D" w:rsidP="00304114" w:rsidRDefault="00384982" w14:paraId="2B29EFD9" w14:textId="09187A31">
                            <w:r>
                              <w:t>1</w:t>
                            </w:r>
                            <w:r w:rsidR="002B4E40">
                              <w:t>1</w:t>
                            </w:r>
                          </w:p>
                          <w:p w:rsidR="0081089D" w:rsidP="00304114" w:rsidRDefault="0081089D" w14:paraId="02E31401" w14:textId="77EC453C"/>
                          <w:p w:rsidR="0081089D" w:rsidP="00304114" w:rsidRDefault="0081089D" w14:paraId="5C83185E" w14:textId="52A7AB37"/>
                          <w:p w:rsidR="0081089D" w:rsidP="00304114" w:rsidRDefault="00384982" w14:paraId="2C4ABC39" w14:textId="5C5ED197">
                            <w:r>
                              <w:t>12</w:t>
                            </w:r>
                          </w:p>
                          <w:p w:rsidR="0081089D" w:rsidP="00304114" w:rsidRDefault="0081089D" w14:paraId="4A239AAB" w14:textId="45880379"/>
                          <w:p w:rsidR="0081089D" w:rsidP="00304114" w:rsidRDefault="0081089D" w14:paraId="52F1624B" w14:textId="77777777"/>
                          <w:p w:rsidR="0081089D" w:rsidP="00304114" w:rsidRDefault="00384982" w14:paraId="1154BEBA" w14:textId="45E424A6">
                            <w:r>
                              <w:t>14</w:t>
                            </w:r>
                          </w:p>
                          <w:p w:rsidR="0081089D" w:rsidP="00304114" w:rsidRDefault="0081089D" w14:paraId="7B259320" w14:textId="4C991A53"/>
                          <w:p w:rsidR="0081089D" w:rsidP="00304114" w:rsidRDefault="0081089D" w14:paraId="6B8A1D3F" w14:textId="77777777"/>
                          <w:p w:rsidR="0081089D" w:rsidP="00304114" w:rsidRDefault="0081089D" w14:paraId="2C90E602" w14:textId="77777777"/>
                          <w:p w:rsidR="0081089D" w:rsidP="00304114" w:rsidRDefault="0081089D" w14:paraId="4DD4B8C3" w14:textId="1F9EA671"/>
                          <w:p w:rsidR="0081089D" w:rsidP="00304114" w:rsidRDefault="00384982" w14:paraId="74C0E91A" w14:textId="518F566B">
                            <w:r>
                              <w:t>17</w:t>
                            </w:r>
                          </w:p>
                          <w:p w:rsidR="0081089D" w:rsidP="00304114" w:rsidRDefault="0081089D" w14:paraId="27BB899A" w14:textId="48F895EA"/>
                          <w:p w:rsidR="0081089D" w:rsidP="00304114" w:rsidRDefault="0081089D" w14:paraId="609A95DC" w14:textId="6CBF6092"/>
                          <w:p w:rsidR="002B4E40" w:rsidP="00304114" w:rsidRDefault="002B4E40" w14:paraId="0B146DFD" w14:textId="77777777">
                            <w:r>
                              <w:t>19</w:t>
                            </w:r>
                          </w:p>
                          <w:p w:rsidR="0081089D" w:rsidP="00304114" w:rsidRDefault="0081089D" w14:paraId="25740C9D" w14:textId="0B716335"/>
                          <w:p w:rsidR="0081089D" w:rsidP="00304114" w:rsidRDefault="0081089D" w14:paraId="7014A7E4" w14:textId="2FBA9016">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w14:anchorId="7B47239E">
              <v:shapetype id="_x0000_t202" coordsize="21600,21600" o:spt="202" path="m,l,21600r21600,l21600,xe" w14:anchorId="02D336C8">
                <v:stroke joinstyle="miter"/>
                <v:path gradientshapeok="t" o:connecttype="rect"/>
              </v:shapetype>
              <v:shape id="Text Box 7" style="position:absolute;left:0;text-align:left;margin-left:468.75pt;margin-top:27.55pt;width:19.9pt;height:553.8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">
                <v:textbox inset="0,0,0,0">
                  <w:txbxContent>
                    <w:p w:rsidR="0081089D" w:rsidP="00304114" w:rsidRDefault="0081089D" w14:paraId="18F999B5" w14:textId="46B6003E">
                      <w:r>
                        <w:t>2</w:t>
                      </w:r>
                    </w:p>
                    <w:p w:rsidR="0081089D" w:rsidP="00304114" w:rsidRDefault="0081089D" w14:paraId="672A6659" w14:textId="77777777"/>
                    <w:p w:rsidR="0081089D" w:rsidP="00304114" w:rsidRDefault="0081089D" w14:paraId="7144751B" w14:textId="02BF0D65">
                      <w:r>
                        <w:t>2</w:t>
                      </w:r>
                    </w:p>
                    <w:p w:rsidR="0081089D" w:rsidP="00304114" w:rsidRDefault="0081089D" w14:paraId="0A37501D" w14:textId="77777777"/>
                    <w:p w:rsidR="0081089D" w:rsidP="00304114" w:rsidRDefault="0081089D" w14:paraId="78941E47" w14:textId="76717FCE">
                      <w:r>
                        <w:t>5</w:t>
                      </w:r>
                    </w:p>
                    <w:p w:rsidR="0081089D" w:rsidP="00304114" w:rsidRDefault="0081089D" w14:paraId="5DAB6C7B" w14:textId="77777777"/>
                    <w:p w:rsidR="0081089D" w:rsidP="00304114" w:rsidRDefault="002B4E40" w14:paraId="75697EEC" w14:textId="26FFCB66">
                      <w:r>
                        <w:t>7</w:t>
                      </w:r>
                    </w:p>
                    <w:p w:rsidR="0081089D" w:rsidP="00304114" w:rsidRDefault="0081089D" w14:paraId="02EB378F" w14:textId="77777777"/>
                    <w:p w:rsidR="0081089D" w:rsidP="00304114" w:rsidRDefault="005E7797" w14:paraId="44B0A208" w14:textId="48E15914">
                      <w:r>
                        <w:t>8</w:t>
                      </w:r>
                    </w:p>
                    <w:p w:rsidR="0081089D" w:rsidP="00304114" w:rsidRDefault="0081089D" w14:paraId="6A05A809" w14:textId="77777777"/>
                    <w:p w:rsidR="0081089D" w:rsidP="00304114" w:rsidRDefault="002B4E40" w14:paraId="03853697" w14:textId="5BB0C198">
                      <w:r>
                        <w:t>8</w:t>
                      </w:r>
                    </w:p>
                    <w:p w:rsidR="0081089D" w:rsidP="00304114" w:rsidRDefault="0081089D" w14:paraId="5A39BBE3" w14:textId="77777777"/>
                    <w:p w:rsidR="0081089D" w:rsidP="00304114" w:rsidRDefault="00124A0C" w14:paraId="2B2B7304" w14:textId="6777DE48">
                      <w:r>
                        <w:t>9</w:t>
                      </w:r>
                    </w:p>
                    <w:p w:rsidR="0081089D" w:rsidP="00304114" w:rsidRDefault="0081089D" w14:paraId="41C8F396" w14:textId="7B40F0CE"/>
                    <w:p w:rsidR="0081089D" w:rsidP="00304114" w:rsidRDefault="0081089D" w14:paraId="72A3D3EC" w14:textId="77777777"/>
                    <w:p w:rsidR="0081089D" w:rsidP="00304114" w:rsidRDefault="00124A0C" w14:paraId="089009E4" w14:textId="7C976E68">
                      <w:r>
                        <w:t>9</w:t>
                      </w:r>
                    </w:p>
                    <w:p w:rsidR="0081089D" w:rsidP="00304114" w:rsidRDefault="0081089D" w14:paraId="0D0B940D" w14:textId="0563000E"/>
                    <w:p w:rsidR="0081089D" w:rsidP="00304114" w:rsidRDefault="00124A0C" w14:paraId="42124560" w14:textId="58738E74">
                      <w:r>
                        <w:t>9</w:t>
                      </w:r>
                    </w:p>
                    <w:p w:rsidR="0081089D" w:rsidP="00304114" w:rsidRDefault="0081089D" w14:paraId="0E27B00A" w14:textId="679F3D11"/>
                    <w:p w:rsidR="0081089D" w:rsidP="00304114" w:rsidRDefault="0081089D" w14:paraId="60061E4C" w14:textId="77777777"/>
                    <w:p w:rsidR="0081089D" w:rsidP="00304114" w:rsidRDefault="0081089D" w14:paraId="5D369756" w14:textId="4205DE3F">
                      <w:r>
                        <w:t>1</w:t>
                      </w:r>
                      <w:r w:rsidR="00124A0C">
                        <w:t>0</w:t>
                      </w:r>
                    </w:p>
                    <w:p w:rsidR="0081089D" w:rsidP="00304114" w:rsidRDefault="0081089D" w14:paraId="44EAFD9C" w14:textId="213209F3"/>
                    <w:p w:rsidR="0081089D" w:rsidP="00304114" w:rsidRDefault="0081089D" w14:paraId="4B94D5A5" w14:textId="77777777"/>
                    <w:p w:rsidR="0081089D" w:rsidP="00304114" w:rsidRDefault="0081089D" w14:paraId="3DEEC669" w14:textId="0CC21823"/>
                    <w:p w:rsidR="0081089D" w:rsidP="00304114" w:rsidRDefault="00384982" w14:paraId="4737E36C" w14:textId="09187A31">
                      <w:r>
                        <w:t>1</w:t>
                      </w:r>
                      <w:r w:rsidR="002B4E40">
                        <w:t>1</w:t>
                      </w:r>
                    </w:p>
                    <w:p w:rsidR="0081089D" w:rsidP="00304114" w:rsidRDefault="0081089D" w14:paraId="3656B9AB" w14:textId="77EC453C"/>
                    <w:p w:rsidR="0081089D" w:rsidP="00304114" w:rsidRDefault="0081089D" w14:paraId="45FB0818" w14:textId="52A7AB37"/>
                    <w:p w:rsidR="0081089D" w:rsidP="00304114" w:rsidRDefault="00384982" w14:paraId="4B73E586" w14:textId="5C5ED197">
                      <w:r>
                        <w:t>12</w:t>
                      </w:r>
                    </w:p>
                    <w:p w:rsidR="0081089D" w:rsidP="00304114" w:rsidRDefault="0081089D" w14:paraId="049F31CB" w14:textId="45880379"/>
                    <w:p w:rsidR="0081089D" w:rsidP="00304114" w:rsidRDefault="0081089D" w14:paraId="53128261" w14:textId="77777777"/>
                    <w:p w:rsidR="0081089D" w:rsidP="00304114" w:rsidRDefault="00384982" w14:paraId="4E1E336A" w14:textId="45E424A6">
                      <w:r>
                        <w:t>14</w:t>
                      </w:r>
                    </w:p>
                    <w:p w:rsidR="0081089D" w:rsidP="00304114" w:rsidRDefault="0081089D" w14:paraId="62486C05" w14:textId="4C991A53"/>
                    <w:p w:rsidR="0081089D" w:rsidP="00304114" w:rsidRDefault="0081089D" w14:paraId="4101652C" w14:textId="77777777"/>
                    <w:p w:rsidR="0081089D" w:rsidP="00304114" w:rsidRDefault="0081089D" w14:paraId="4B99056E" w14:textId="77777777"/>
                    <w:p w:rsidR="0081089D" w:rsidP="00304114" w:rsidRDefault="0081089D" w14:paraId="1299C43A" w14:textId="1F9EA671"/>
                    <w:p w:rsidR="0081089D" w:rsidP="00304114" w:rsidRDefault="00384982" w14:paraId="111B77A1" w14:textId="518F566B">
                      <w:r>
                        <w:t>17</w:t>
                      </w:r>
                    </w:p>
                    <w:p w:rsidR="0081089D" w:rsidP="00304114" w:rsidRDefault="0081089D" w14:paraId="4DDBEF00" w14:textId="48F895EA"/>
                    <w:p w:rsidR="0081089D" w:rsidP="00304114" w:rsidRDefault="0081089D" w14:paraId="3461D779" w14:textId="6CBF6092"/>
                    <w:p w:rsidR="002B4E40" w:rsidP="00304114" w:rsidRDefault="002B4E40" w14:paraId="2847A633" w14:textId="77777777">
                      <w:r>
                        <w:t>19</w:t>
                      </w:r>
                    </w:p>
                    <w:p w:rsidR="0081089D" w:rsidP="00304114" w:rsidRDefault="0081089D" w14:paraId="3CF2D8B6" w14:textId="0B716335"/>
                    <w:p w:rsidR="0081089D" w:rsidP="00304114" w:rsidRDefault="0081089D" w14:paraId="3891630B" w14:textId="2FBA9016">
                      <w:r>
                        <w:t xml:space="preserve">       </w:t>
                      </w:r>
                    </w:p>
                  </w:txbxContent>
                </v:textbox>
              </v:shape>
            </w:pict>
          </mc:Fallback>
        </mc:AlternateContent>
      </w:r>
      <w:r w:rsidRPr="00B205D7">
        <w:rPr>
          <w:b/>
          <w:u w:val="single"/>
        </w:rPr>
        <w:t>TABLE OF CONTENTS</w:t>
      </w:r>
    </w:p>
    <w:p w:rsidRPr="00B205D7" w:rsidR="00304114" w:rsidP="00304114" w:rsidRDefault="00304114" w14:paraId="4B51F2F1" w14:textId="4B506A05">
      <w:pPr>
        <w:spacing w:line="480" w:lineRule="auto"/>
        <w:outlineLvl w:val="0"/>
      </w:pPr>
      <w:r w:rsidRPr="00B205D7">
        <w:rPr>
          <w:b/>
        </w:rPr>
        <w:t xml:space="preserve">STATEMENT OF </w:t>
      </w:r>
      <w:r w:rsidRPr="00B205D7" w:rsidR="00CC1C02">
        <w:rPr>
          <w:b/>
        </w:rPr>
        <w:t>FACTS</w:t>
      </w:r>
      <w:r w:rsidRPr="00B205D7">
        <w:rPr>
          <w:b/>
        </w:rPr>
        <w:t xml:space="preserve"> </w:t>
      </w:r>
      <w:r w:rsidRPr="00B205D7">
        <w:t>. . . . . . . . . . . . . .</w:t>
      </w:r>
      <w:r w:rsidRPr="00B205D7" w:rsidR="00CC1C02">
        <w:t xml:space="preserve"> . . . . . . . . . . . . . . . . . . . . . . . . . . . . . . . . . . . . . . . .</w:t>
      </w:r>
    </w:p>
    <w:p w:rsidRPr="00B205D7" w:rsidR="00AA2B4E" w:rsidP="00C63B3A" w:rsidRDefault="00AA2B4E" w14:paraId="01EF46FE" w14:textId="45AFDD5A">
      <w:pPr>
        <w:pStyle w:val="ListParagraph"/>
        <w:numPr>
          <w:ilvl w:val="0"/>
          <w:numId w:val="7"/>
        </w:numPr>
        <w:spacing w:line="480" w:lineRule="auto"/>
        <w:ind w:left="720" w:right="-90" w:hanging="360"/>
        <w:outlineLvl w:val="0"/>
        <w:rPr>
          <w:b/>
          <w:sz w:val="24"/>
          <w:szCs w:val="24"/>
        </w:rPr>
      </w:pPr>
      <w:r w:rsidRPr="00B205D7">
        <w:rPr>
          <w:b/>
          <w:sz w:val="24"/>
          <w:szCs w:val="24"/>
        </w:rPr>
        <w:t xml:space="preserve">FACTS SPECIFIC TO MS. </w:t>
      </w:r>
      <w:r w:rsidR="00706EEB">
        <w:rPr>
          <w:b/>
          <w:sz w:val="24"/>
          <w:szCs w:val="24"/>
        </w:rPr>
        <w:t>C-T-</w:t>
      </w:r>
      <w:r w:rsidRPr="00B205D7" w:rsidR="0081089D">
        <w:rPr>
          <w:sz w:val="24"/>
          <w:szCs w:val="24"/>
        </w:rPr>
        <w:t xml:space="preserve">. . . . . . . . . . . . . . . . . . . . . . . . . . . . . . . .  </w:t>
      </w:r>
    </w:p>
    <w:p w:rsidRPr="00B205D7" w:rsidR="00304114" w:rsidP="00AA2B4E" w:rsidRDefault="00AA2B4E" w14:paraId="21E1E60A" w14:textId="119E1E31">
      <w:pPr>
        <w:spacing w:line="480" w:lineRule="auto"/>
        <w:ind w:left="720" w:right="-90" w:hanging="360"/>
        <w:outlineLvl w:val="0"/>
        <w:rPr>
          <w:b/>
        </w:rPr>
      </w:pPr>
      <w:r w:rsidRPr="00B205D7">
        <w:rPr>
          <w:b/>
        </w:rPr>
        <w:t xml:space="preserve">II. </w:t>
      </w:r>
      <w:r w:rsidRPr="00B205D7">
        <w:rPr>
          <w:b/>
        </w:rPr>
        <w:tab/>
      </w:r>
      <w:r w:rsidRPr="00B205D7" w:rsidR="00CC1C02">
        <w:rPr>
          <w:b/>
        </w:rPr>
        <w:t>COUNTRY CONDITIONS</w:t>
      </w:r>
      <w:r w:rsidRPr="00B205D7" w:rsidR="00304114">
        <w:rPr>
          <w:b/>
        </w:rPr>
        <w:t xml:space="preserve"> </w:t>
      </w:r>
      <w:r w:rsidRPr="00B205D7" w:rsidR="00304114">
        <w:t xml:space="preserve">. . . . . . . . . . . . . . . . . . . . . </w:t>
      </w:r>
      <w:r w:rsidRPr="00B205D7" w:rsidR="000F2949">
        <w:t xml:space="preserve">. . </w:t>
      </w:r>
      <w:r w:rsidRPr="00B205D7" w:rsidR="00304114">
        <w:t xml:space="preserve">. . . . . . .. . . . . . </w:t>
      </w:r>
      <w:r w:rsidRPr="00B205D7" w:rsidR="00CC1C02">
        <w:t>. . . . . . . . . . .</w:t>
      </w:r>
      <w:r w:rsidRPr="00B205D7" w:rsidR="000F2949">
        <w:t xml:space="preserve"> . .</w:t>
      </w:r>
    </w:p>
    <w:p w:rsidRPr="00B205D7" w:rsidR="00304114" w:rsidP="00AA2B4E" w:rsidRDefault="00AA2B4E" w14:paraId="7242C2FB" w14:textId="2CDA25A2">
      <w:pPr>
        <w:spacing w:line="480" w:lineRule="auto"/>
        <w:ind w:left="720" w:hanging="360"/>
        <w:rPr>
          <w:b/>
        </w:rPr>
      </w:pPr>
      <w:r w:rsidRPr="00B205D7">
        <w:rPr>
          <w:b/>
        </w:rPr>
        <w:t xml:space="preserve">III. </w:t>
      </w:r>
      <w:r w:rsidRPr="00B205D7" w:rsidR="00CC1C02">
        <w:rPr>
          <w:b/>
        </w:rPr>
        <w:t>PROCEDURAL HISTORY</w:t>
      </w:r>
      <w:r w:rsidRPr="00B205D7" w:rsidR="00CC1C02">
        <w:t>.</w:t>
      </w:r>
      <w:r w:rsidRPr="00B205D7" w:rsidR="00304114">
        <w:t xml:space="preserve"> . . . . . . . . . . . . . . . . . . . . . . . . . . . . . . . . . . . . . . . . . . .</w:t>
      </w:r>
      <w:r w:rsidRPr="00B205D7" w:rsidR="00CC1C02">
        <w:t xml:space="preserve"> . . . .</w:t>
      </w:r>
    </w:p>
    <w:p w:rsidRPr="00B205D7" w:rsidR="00304114" w:rsidP="00CC1C02" w:rsidRDefault="00CC1C02" w14:paraId="063EFD9D" w14:textId="4FB92E3A">
      <w:pPr>
        <w:spacing w:line="480" w:lineRule="auto"/>
        <w:rPr>
          <w:b/>
        </w:rPr>
      </w:pPr>
      <w:r w:rsidRPr="00B205D7">
        <w:rPr>
          <w:b/>
        </w:rPr>
        <w:t>QUESTIONS PRESENTED</w:t>
      </w:r>
      <w:r w:rsidRPr="00B205D7" w:rsidR="00304114">
        <w:t>. . . . . . . . . . . . . . . . . . . . . . . . . . . . . . . . . . . . . . . . . . . . .</w:t>
      </w:r>
      <w:r w:rsidRPr="00B205D7">
        <w:t xml:space="preserve"> . . . . . . . . .</w:t>
      </w:r>
    </w:p>
    <w:p w:rsidRPr="00B205D7" w:rsidR="00304114" w:rsidP="00CC1C02" w:rsidRDefault="00304114" w14:paraId="39942F33" w14:textId="5E90FC64">
      <w:pPr>
        <w:spacing w:line="480" w:lineRule="auto"/>
        <w:rPr>
          <w:b/>
        </w:rPr>
      </w:pPr>
      <w:r w:rsidRPr="00B205D7">
        <w:rPr>
          <w:b/>
        </w:rPr>
        <w:t>STANDARD OF REVIEW</w:t>
      </w:r>
      <w:r w:rsidRPr="00B205D7">
        <w:t xml:space="preserve">. . . . . . . . . . . . . . . . . . . . . . . . . . . . . . . . . . . . . . . . . . . . . </w:t>
      </w:r>
      <w:r w:rsidRPr="00B205D7" w:rsidR="00CC1C02">
        <w:t>. . . . . . . . .</w:t>
      </w:r>
      <w:r w:rsidRPr="00B205D7" w:rsidR="002777BA">
        <w:t xml:space="preserve"> .</w:t>
      </w:r>
    </w:p>
    <w:p w:rsidRPr="00B205D7" w:rsidR="00304114" w:rsidP="00304114" w:rsidRDefault="00304114" w14:paraId="04E39617" w14:textId="77777777">
      <w:pPr>
        <w:spacing w:line="480" w:lineRule="auto"/>
        <w:outlineLvl w:val="0"/>
        <w:rPr>
          <w:b/>
        </w:rPr>
      </w:pPr>
      <w:r w:rsidRPr="00B205D7">
        <w:rPr>
          <w:b/>
        </w:rPr>
        <w:t xml:space="preserve">ARGUMENT </w:t>
      </w:r>
      <w:r w:rsidRPr="00B205D7">
        <w:t>. . . . . . . . . . . . . . . . . . . . . . . . . . . . . . . . . . . . . . . . . . . . . . . . . . . . . . . . . . . . . . . . . .</w:t>
      </w:r>
    </w:p>
    <w:p w:rsidRPr="00B205D7" w:rsidR="00304114" w:rsidP="00304114" w:rsidRDefault="002777BA" w14:paraId="1D4A24CB" w14:textId="4BBFC76F">
      <w:pPr>
        <w:pStyle w:val="ListParagraph"/>
        <w:numPr>
          <w:ilvl w:val="0"/>
          <w:numId w:val="6"/>
        </w:numPr>
        <w:rPr>
          <w:rFonts w:eastAsia="Times New Roman"/>
          <w:b/>
          <w:sz w:val="24"/>
          <w:szCs w:val="24"/>
        </w:rPr>
      </w:pPr>
      <w:r w:rsidRPr="00B205D7">
        <w:rPr>
          <w:rFonts w:eastAsia="Times New Roman"/>
          <w:b/>
          <w:sz w:val="24"/>
          <w:szCs w:val="24"/>
        </w:rPr>
        <w:t xml:space="preserve">THE IMMIGRATION JUDGE ERRED IN FAILING TO ADDRESS ENTIRELY MS. </w:t>
      </w:r>
      <w:r w:rsidR="00706EEB">
        <w:rPr>
          <w:rFonts w:eastAsia="Times New Roman"/>
          <w:b/>
          <w:sz w:val="24"/>
          <w:szCs w:val="24"/>
        </w:rPr>
        <w:t>C-T-</w:t>
      </w:r>
      <w:r w:rsidRPr="00B205D7">
        <w:rPr>
          <w:rFonts w:eastAsia="Times New Roman"/>
          <w:b/>
          <w:sz w:val="24"/>
          <w:szCs w:val="24"/>
        </w:rPr>
        <w:t xml:space="preserve">’S POLITICAL OPINION CLAIM </w:t>
      </w:r>
      <w:r w:rsidRPr="00B205D7" w:rsidR="00304114">
        <w:rPr>
          <w:sz w:val="24"/>
          <w:szCs w:val="24"/>
        </w:rPr>
        <w:t xml:space="preserve">. . </w:t>
      </w:r>
      <w:r w:rsidRPr="00B205D7">
        <w:rPr>
          <w:sz w:val="24"/>
          <w:szCs w:val="24"/>
        </w:rPr>
        <w:t>. . . . . . . . . . . . . . . . . . . .</w:t>
      </w:r>
    </w:p>
    <w:p w:rsidRPr="00B205D7" w:rsidR="000F2949" w:rsidP="000F2949" w:rsidRDefault="000F2949" w14:paraId="1A6A6F42" w14:textId="77777777">
      <w:pPr>
        <w:pStyle w:val="ListParagraph"/>
        <w:rPr>
          <w:rFonts w:eastAsia="Times New Roman"/>
          <w:b/>
          <w:sz w:val="24"/>
          <w:szCs w:val="24"/>
        </w:rPr>
      </w:pPr>
    </w:p>
    <w:p w:rsidRPr="00B205D7" w:rsidR="000F2949" w:rsidP="000F2949" w:rsidRDefault="000F2949" w14:paraId="6416D9C5" w14:textId="7406E646">
      <w:pPr>
        <w:pStyle w:val="ListParagraph"/>
        <w:numPr>
          <w:ilvl w:val="0"/>
          <w:numId w:val="26"/>
        </w:numPr>
        <w:rPr>
          <w:rFonts w:eastAsia="Times New Roman"/>
          <w:sz w:val="24"/>
          <w:szCs w:val="24"/>
          <w:u w:val="single"/>
        </w:rPr>
      </w:pPr>
      <w:r w:rsidRPr="00B205D7">
        <w:rPr>
          <w:sz w:val="24"/>
          <w:szCs w:val="24"/>
          <w:u w:val="single"/>
        </w:rPr>
        <w:t xml:space="preserve">The IJ </w:t>
      </w:r>
      <w:r w:rsidRPr="00B205D7" w:rsidR="00C83ED0">
        <w:rPr>
          <w:sz w:val="24"/>
          <w:szCs w:val="24"/>
          <w:u w:val="single"/>
        </w:rPr>
        <w:t>F</w:t>
      </w:r>
      <w:r w:rsidRPr="00B205D7">
        <w:rPr>
          <w:sz w:val="24"/>
          <w:szCs w:val="24"/>
          <w:u w:val="single"/>
        </w:rPr>
        <w:t xml:space="preserve">ailed to </w:t>
      </w:r>
      <w:r w:rsidRPr="00B205D7" w:rsidR="00C83ED0">
        <w:rPr>
          <w:sz w:val="24"/>
          <w:szCs w:val="24"/>
          <w:u w:val="single"/>
        </w:rPr>
        <w:t>A</w:t>
      </w:r>
      <w:r w:rsidRPr="00B205D7">
        <w:rPr>
          <w:sz w:val="24"/>
          <w:szCs w:val="24"/>
          <w:u w:val="single"/>
        </w:rPr>
        <w:t xml:space="preserve">ddress the </w:t>
      </w:r>
      <w:r w:rsidRPr="00B205D7" w:rsidR="00C83ED0">
        <w:rPr>
          <w:sz w:val="24"/>
          <w:szCs w:val="24"/>
          <w:u w:val="single"/>
        </w:rPr>
        <w:t>P</w:t>
      </w:r>
      <w:r w:rsidRPr="00B205D7">
        <w:rPr>
          <w:sz w:val="24"/>
          <w:szCs w:val="24"/>
          <w:u w:val="single"/>
        </w:rPr>
        <w:t xml:space="preserve">olitical </w:t>
      </w:r>
      <w:r w:rsidRPr="00B205D7" w:rsidR="00C83ED0">
        <w:rPr>
          <w:sz w:val="24"/>
          <w:szCs w:val="24"/>
          <w:u w:val="single"/>
        </w:rPr>
        <w:t>O</w:t>
      </w:r>
      <w:r w:rsidRPr="00B205D7">
        <w:rPr>
          <w:sz w:val="24"/>
          <w:szCs w:val="24"/>
          <w:u w:val="single"/>
        </w:rPr>
        <w:t xml:space="preserve">pinion </w:t>
      </w:r>
      <w:r w:rsidRPr="00B205D7" w:rsidR="00C83ED0">
        <w:rPr>
          <w:sz w:val="24"/>
          <w:szCs w:val="24"/>
          <w:u w:val="single"/>
        </w:rPr>
        <w:t>C</w:t>
      </w:r>
      <w:r w:rsidRPr="00B205D7">
        <w:rPr>
          <w:sz w:val="24"/>
          <w:szCs w:val="24"/>
          <w:u w:val="single"/>
        </w:rPr>
        <w:t>laim</w:t>
      </w:r>
      <w:r w:rsidRPr="00B205D7">
        <w:rPr>
          <w:sz w:val="24"/>
          <w:szCs w:val="24"/>
        </w:rPr>
        <w:t xml:space="preserve">. . . . . . . . . . . . . . . . . . . . . . . . </w:t>
      </w:r>
    </w:p>
    <w:p w:rsidRPr="00B205D7" w:rsidR="000F2949" w:rsidP="000F2949" w:rsidRDefault="000F2949" w14:paraId="6AB8DAAB" w14:textId="77777777">
      <w:pPr>
        <w:rPr>
          <w:rFonts w:eastAsia="Times New Roman"/>
          <w:u w:val="single"/>
        </w:rPr>
      </w:pPr>
    </w:p>
    <w:p w:rsidRPr="00B205D7" w:rsidR="000F2949" w:rsidP="00384982" w:rsidRDefault="000F2949" w14:paraId="2341F30D" w14:textId="5E5EC00A">
      <w:pPr>
        <w:pStyle w:val="ListParagraph"/>
        <w:numPr>
          <w:ilvl w:val="0"/>
          <w:numId w:val="26"/>
        </w:numPr>
        <w:rPr>
          <w:rFonts w:eastAsia="Times New Roman"/>
          <w:sz w:val="24"/>
          <w:szCs w:val="24"/>
          <w:u w:val="single"/>
        </w:rPr>
      </w:pPr>
      <w:r w:rsidRPr="00B205D7">
        <w:rPr>
          <w:sz w:val="24"/>
          <w:szCs w:val="24"/>
          <w:u w:val="single"/>
        </w:rPr>
        <w:t xml:space="preserve">Ms. </w:t>
      </w:r>
      <w:r w:rsidR="00706EEB">
        <w:rPr>
          <w:sz w:val="24"/>
          <w:szCs w:val="24"/>
          <w:u w:val="single"/>
        </w:rPr>
        <w:t>C-T-</w:t>
      </w:r>
      <w:r w:rsidRPr="00B205D7">
        <w:rPr>
          <w:sz w:val="24"/>
          <w:szCs w:val="24"/>
          <w:u w:val="single"/>
        </w:rPr>
        <w:t xml:space="preserve"> was </w:t>
      </w:r>
      <w:r w:rsidRPr="00B205D7" w:rsidR="00C83ED0">
        <w:rPr>
          <w:sz w:val="24"/>
          <w:szCs w:val="24"/>
          <w:u w:val="single"/>
        </w:rPr>
        <w:t>P</w:t>
      </w:r>
      <w:r w:rsidRPr="00B205D7">
        <w:rPr>
          <w:sz w:val="24"/>
          <w:szCs w:val="24"/>
          <w:u w:val="single"/>
        </w:rPr>
        <w:t xml:space="preserve">ersecuted and </w:t>
      </w:r>
      <w:r w:rsidRPr="00B205D7" w:rsidR="00C83ED0">
        <w:rPr>
          <w:sz w:val="24"/>
          <w:szCs w:val="24"/>
          <w:u w:val="single"/>
        </w:rPr>
        <w:t>H</w:t>
      </w:r>
      <w:r w:rsidRPr="00B205D7">
        <w:rPr>
          <w:sz w:val="24"/>
          <w:szCs w:val="24"/>
          <w:u w:val="single"/>
        </w:rPr>
        <w:t xml:space="preserve">as a </w:t>
      </w:r>
      <w:r w:rsidRPr="00B205D7" w:rsidR="00C83ED0">
        <w:rPr>
          <w:sz w:val="24"/>
          <w:szCs w:val="24"/>
          <w:u w:val="single"/>
        </w:rPr>
        <w:t>W</w:t>
      </w:r>
      <w:r w:rsidRPr="00B205D7">
        <w:rPr>
          <w:sz w:val="24"/>
          <w:szCs w:val="24"/>
          <w:u w:val="single"/>
        </w:rPr>
        <w:t>ell-</w:t>
      </w:r>
      <w:r w:rsidRPr="00B205D7" w:rsidR="00C83ED0">
        <w:rPr>
          <w:sz w:val="24"/>
          <w:szCs w:val="24"/>
          <w:u w:val="single"/>
        </w:rPr>
        <w:t>F</w:t>
      </w:r>
      <w:r w:rsidRPr="00B205D7">
        <w:rPr>
          <w:sz w:val="24"/>
          <w:szCs w:val="24"/>
          <w:u w:val="single"/>
        </w:rPr>
        <w:t xml:space="preserve">ounded </w:t>
      </w:r>
      <w:r w:rsidRPr="00B205D7" w:rsidR="00C83ED0">
        <w:rPr>
          <w:sz w:val="24"/>
          <w:szCs w:val="24"/>
          <w:u w:val="single"/>
        </w:rPr>
        <w:t>F</w:t>
      </w:r>
      <w:r w:rsidRPr="00B205D7">
        <w:rPr>
          <w:sz w:val="24"/>
          <w:szCs w:val="24"/>
          <w:u w:val="single"/>
        </w:rPr>
        <w:t xml:space="preserve">ear of </w:t>
      </w:r>
      <w:r w:rsidRPr="00B205D7" w:rsidR="00C83ED0">
        <w:rPr>
          <w:sz w:val="24"/>
          <w:szCs w:val="24"/>
          <w:u w:val="single"/>
        </w:rPr>
        <w:t>F</w:t>
      </w:r>
      <w:r w:rsidRPr="00B205D7">
        <w:rPr>
          <w:sz w:val="24"/>
          <w:szCs w:val="24"/>
          <w:u w:val="single"/>
        </w:rPr>
        <w:t xml:space="preserve">uture </w:t>
      </w:r>
      <w:r w:rsidRPr="00B205D7" w:rsidR="00C83ED0">
        <w:rPr>
          <w:sz w:val="24"/>
          <w:szCs w:val="24"/>
          <w:u w:val="single"/>
        </w:rPr>
        <w:t>P</w:t>
      </w:r>
      <w:r w:rsidRPr="00B205D7">
        <w:rPr>
          <w:sz w:val="24"/>
          <w:szCs w:val="24"/>
          <w:u w:val="single"/>
        </w:rPr>
        <w:t xml:space="preserve">ersecution on </w:t>
      </w:r>
      <w:r w:rsidRPr="00B205D7" w:rsidR="00C83ED0">
        <w:rPr>
          <w:sz w:val="24"/>
          <w:szCs w:val="24"/>
          <w:u w:val="single"/>
        </w:rPr>
        <w:t>A</w:t>
      </w:r>
      <w:r w:rsidRPr="00B205D7">
        <w:rPr>
          <w:sz w:val="24"/>
          <w:szCs w:val="24"/>
          <w:u w:val="single"/>
        </w:rPr>
        <w:t xml:space="preserve">ccount of her </w:t>
      </w:r>
      <w:r w:rsidRPr="00B205D7" w:rsidR="00C83ED0">
        <w:rPr>
          <w:sz w:val="24"/>
          <w:szCs w:val="24"/>
          <w:u w:val="single"/>
        </w:rPr>
        <w:t>P</w:t>
      </w:r>
      <w:r w:rsidRPr="00B205D7">
        <w:rPr>
          <w:sz w:val="24"/>
          <w:szCs w:val="24"/>
          <w:u w:val="single"/>
        </w:rPr>
        <w:t xml:space="preserve">olitical </w:t>
      </w:r>
      <w:r w:rsidRPr="00B205D7" w:rsidR="00C83ED0">
        <w:rPr>
          <w:sz w:val="24"/>
          <w:szCs w:val="24"/>
          <w:u w:val="single"/>
        </w:rPr>
        <w:t>O</w:t>
      </w:r>
      <w:r w:rsidRPr="00B205D7">
        <w:rPr>
          <w:sz w:val="24"/>
          <w:szCs w:val="24"/>
          <w:u w:val="single"/>
        </w:rPr>
        <w:t>pinion.</w:t>
      </w:r>
      <w:r w:rsidRPr="00B205D7">
        <w:rPr>
          <w:sz w:val="24"/>
          <w:szCs w:val="24"/>
        </w:rPr>
        <w:t xml:space="preserve"> . . . . . . . . . . . . . . . . . . . . . . . . </w:t>
      </w:r>
      <w:r w:rsidRPr="00B205D7" w:rsidR="00C83ED0">
        <w:rPr>
          <w:sz w:val="24"/>
          <w:szCs w:val="24"/>
        </w:rPr>
        <w:t xml:space="preserve">. </w:t>
      </w:r>
      <w:r w:rsidRPr="00B205D7">
        <w:rPr>
          <w:sz w:val="24"/>
          <w:szCs w:val="24"/>
        </w:rPr>
        <w:t xml:space="preserve">.  </w:t>
      </w:r>
    </w:p>
    <w:p w:rsidRPr="00B205D7" w:rsidR="002777BA" w:rsidP="00304114" w:rsidRDefault="002777BA" w14:paraId="73A71C7B" w14:textId="77777777">
      <w:pPr>
        <w:rPr>
          <w:b/>
        </w:rPr>
      </w:pPr>
    </w:p>
    <w:p w:rsidRPr="00B205D7" w:rsidR="00304114" w:rsidP="002777BA" w:rsidRDefault="002777BA" w14:paraId="7FD90821" w14:textId="5F310BCA">
      <w:pPr>
        <w:pStyle w:val="ListParagraph"/>
        <w:numPr>
          <w:ilvl w:val="0"/>
          <w:numId w:val="6"/>
        </w:numPr>
        <w:rPr>
          <w:rFonts w:eastAsiaTheme="minorHAnsi"/>
          <w:b/>
          <w:sz w:val="24"/>
          <w:szCs w:val="24"/>
        </w:rPr>
      </w:pPr>
      <w:r w:rsidRPr="00B205D7">
        <w:rPr>
          <w:rFonts w:eastAsia="Times New Roman"/>
          <w:b/>
          <w:sz w:val="24"/>
          <w:szCs w:val="24"/>
        </w:rPr>
        <w:t xml:space="preserve">THE IMMIGRATION JUDGE’S FINDING THAT MS. </w:t>
      </w:r>
      <w:r w:rsidR="00706EEB">
        <w:rPr>
          <w:rFonts w:eastAsia="Times New Roman"/>
          <w:b/>
          <w:sz w:val="24"/>
          <w:szCs w:val="24"/>
        </w:rPr>
        <w:t>C-T-</w:t>
      </w:r>
      <w:r w:rsidRPr="00B205D7">
        <w:rPr>
          <w:rFonts w:eastAsia="Times New Roman"/>
          <w:b/>
          <w:sz w:val="24"/>
          <w:szCs w:val="24"/>
        </w:rPr>
        <w:t xml:space="preserve"> DID NOT MEET HER BURDEN OF PROOF FOR CONVENTION AGAINST TORTURE RELIEF IS CLEARLY ERRONEOUS </w:t>
      </w:r>
      <w:r w:rsidRPr="00B205D7">
        <w:rPr>
          <w:rFonts w:eastAsia="Times New Roman"/>
          <w:sz w:val="24"/>
          <w:szCs w:val="24"/>
        </w:rPr>
        <w:t>. . . . . . . . . . . . . . . . . . . . . . . . . . . .</w:t>
      </w:r>
    </w:p>
    <w:p w:rsidRPr="00B205D7" w:rsidR="00304114" w:rsidP="00C47D73" w:rsidRDefault="00304114" w14:paraId="4419E43B" w14:textId="77777777">
      <w:pPr>
        <w:rPr>
          <w:b/>
        </w:rPr>
      </w:pPr>
    </w:p>
    <w:p w:rsidRPr="00724521" w:rsidR="00B205D7" w:rsidP="002777BA" w:rsidRDefault="002777BA" w14:paraId="64FE0D9E" w14:textId="082E000E">
      <w:pPr>
        <w:pStyle w:val="ListParagraph"/>
        <w:widowControl w:val="0"/>
        <w:numPr>
          <w:ilvl w:val="1"/>
          <w:numId w:val="6"/>
        </w:numPr>
        <w:rPr>
          <w:rFonts w:eastAsiaTheme="minorHAnsi"/>
          <w:sz w:val="24"/>
          <w:szCs w:val="24"/>
        </w:rPr>
      </w:pPr>
      <w:r w:rsidRPr="00B205D7">
        <w:rPr>
          <w:sz w:val="24"/>
          <w:szCs w:val="24"/>
          <w:u w:val="single"/>
        </w:rPr>
        <w:t xml:space="preserve">It is More Likely Than Not that Ms. </w:t>
      </w:r>
      <w:r w:rsidR="00706EEB">
        <w:rPr>
          <w:sz w:val="24"/>
          <w:szCs w:val="24"/>
          <w:u w:val="single"/>
        </w:rPr>
        <w:t>C-T-</w:t>
      </w:r>
      <w:r w:rsidRPr="00B205D7">
        <w:rPr>
          <w:sz w:val="24"/>
          <w:szCs w:val="24"/>
          <w:u w:val="single"/>
        </w:rPr>
        <w:t xml:space="preserve"> Will be Tortured if </w:t>
      </w:r>
    </w:p>
    <w:p w:rsidRPr="00B205D7" w:rsidR="00304114" w:rsidP="00724521" w:rsidRDefault="002777BA" w14:paraId="30558A38" w14:textId="241A5F15">
      <w:pPr>
        <w:pStyle w:val="ListParagraph"/>
        <w:widowControl w:val="0"/>
        <w:ind w:left="1440"/>
        <w:rPr>
          <w:rFonts w:eastAsiaTheme="minorHAnsi"/>
          <w:sz w:val="24"/>
          <w:szCs w:val="24"/>
        </w:rPr>
      </w:pPr>
      <w:r w:rsidRPr="00B205D7">
        <w:rPr>
          <w:sz w:val="24"/>
          <w:szCs w:val="24"/>
          <w:u w:val="single"/>
        </w:rPr>
        <w:t>Removed to Mexico.</w:t>
      </w:r>
      <w:r w:rsidRPr="00BC74DB">
        <w:rPr>
          <w:sz w:val="24"/>
          <w:szCs w:val="24"/>
        </w:rPr>
        <w:t xml:space="preserve"> </w:t>
      </w:r>
      <w:r w:rsidRPr="00B205D7">
        <w:rPr>
          <w:sz w:val="24"/>
          <w:szCs w:val="24"/>
        </w:rPr>
        <w:t>. . . . . . . . . . . . . . . . . . . . . . . . . . . . . . . . . . . . . . . . . . . . . . . . .</w:t>
      </w:r>
    </w:p>
    <w:p w:rsidRPr="00B205D7" w:rsidR="00304114" w:rsidP="00304114" w:rsidRDefault="00304114" w14:paraId="5CA45791" w14:textId="77777777">
      <w:pPr>
        <w:widowControl w:val="0"/>
        <w:rPr>
          <w:rFonts w:eastAsiaTheme="minorHAnsi"/>
        </w:rPr>
      </w:pPr>
    </w:p>
    <w:p w:rsidRPr="00724521" w:rsidR="00B205D7" w:rsidP="002777BA" w:rsidRDefault="002777BA" w14:paraId="764812DE" w14:textId="77777777">
      <w:pPr>
        <w:pStyle w:val="ListParagraph"/>
        <w:widowControl w:val="0"/>
        <w:numPr>
          <w:ilvl w:val="1"/>
          <w:numId w:val="6"/>
        </w:numPr>
        <w:rPr>
          <w:rFonts w:eastAsiaTheme="minorHAnsi"/>
          <w:sz w:val="24"/>
          <w:szCs w:val="24"/>
        </w:rPr>
      </w:pPr>
      <w:r w:rsidRPr="00B205D7">
        <w:rPr>
          <w:sz w:val="24"/>
          <w:szCs w:val="24"/>
          <w:u w:val="single"/>
        </w:rPr>
        <w:t xml:space="preserve">The Government in Mexico </w:t>
      </w:r>
      <w:r w:rsidRPr="00B205D7" w:rsidR="00AA2B4E">
        <w:rPr>
          <w:sz w:val="24"/>
          <w:szCs w:val="24"/>
          <w:u w:val="single"/>
        </w:rPr>
        <w:t xml:space="preserve">has Acquiesced and </w:t>
      </w:r>
      <w:r w:rsidRPr="00B205D7">
        <w:rPr>
          <w:sz w:val="24"/>
          <w:szCs w:val="24"/>
          <w:u w:val="single"/>
        </w:rPr>
        <w:t xml:space="preserve">will Acquiesce to the </w:t>
      </w:r>
    </w:p>
    <w:p w:rsidRPr="00B205D7" w:rsidR="00304114" w:rsidP="00724521" w:rsidRDefault="002777BA" w14:paraId="27C02B9F" w14:textId="0438FE5E">
      <w:pPr>
        <w:pStyle w:val="ListParagraph"/>
        <w:widowControl w:val="0"/>
        <w:ind w:left="1440"/>
        <w:rPr>
          <w:rFonts w:eastAsiaTheme="minorHAnsi"/>
          <w:sz w:val="24"/>
          <w:szCs w:val="24"/>
        </w:rPr>
      </w:pPr>
      <w:r w:rsidRPr="00B205D7">
        <w:rPr>
          <w:sz w:val="24"/>
          <w:szCs w:val="24"/>
          <w:u w:val="single"/>
        </w:rPr>
        <w:t xml:space="preserve">Torture if Ms. </w:t>
      </w:r>
      <w:r w:rsidR="00706EEB">
        <w:rPr>
          <w:sz w:val="24"/>
          <w:szCs w:val="24"/>
          <w:u w:val="single"/>
        </w:rPr>
        <w:t>C-T-</w:t>
      </w:r>
      <w:r w:rsidRPr="00B205D7">
        <w:rPr>
          <w:sz w:val="24"/>
          <w:szCs w:val="24"/>
          <w:u w:val="single"/>
        </w:rPr>
        <w:t xml:space="preserve"> is </w:t>
      </w:r>
      <w:proofErr w:type="gramStart"/>
      <w:r w:rsidRPr="00B205D7">
        <w:rPr>
          <w:sz w:val="24"/>
          <w:szCs w:val="24"/>
          <w:u w:val="single"/>
        </w:rPr>
        <w:t>Removed</w:t>
      </w:r>
      <w:proofErr w:type="gramEnd"/>
      <w:r w:rsidRPr="00B205D7">
        <w:rPr>
          <w:sz w:val="24"/>
          <w:szCs w:val="24"/>
          <w:u w:val="single"/>
        </w:rPr>
        <w:t>.</w:t>
      </w:r>
      <w:r w:rsidRPr="00B205D7">
        <w:rPr>
          <w:sz w:val="24"/>
          <w:szCs w:val="24"/>
        </w:rPr>
        <w:t xml:space="preserve"> . . . . . . . . . . . </w:t>
      </w:r>
      <w:r w:rsidR="00B205D7">
        <w:rPr>
          <w:sz w:val="24"/>
          <w:szCs w:val="24"/>
        </w:rPr>
        <w:t>.</w:t>
      </w:r>
      <w:r w:rsidRPr="00B205D7">
        <w:rPr>
          <w:sz w:val="24"/>
          <w:szCs w:val="24"/>
        </w:rPr>
        <w:t xml:space="preserve"> . . . . . .</w:t>
      </w:r>
      <w:r w:rsidR="00B205D7">
        <w:rPr>
          <w:sz w:val="24"/>
          <w:szCs w:val="24"/>
        </w:rPr>
        <w:t xml:space="preserve"> . . . . .</w:t>
      </w:r>
      <w:r w:rsidRPr="00B205D7">
        <w:rPr>
          <w:sz w:val="24"/>
          <w:szCs w:val="24"/>
        </w:rPr>
        <w:t xml:space="preserve"> . . . . . . . . </w:t>
      </w:r>
    </w:p>
    <w:p w:rsidRPr="00B205D7" w:rsidR="00304114" w:rsidP="00304114" w:rsidRDefault="00304114" w14:paraId="1256335A" w14:textId="77777777">
      <w:pPr>
        <w:widowControl w:val="0"/>
        <w:rPr>
          <w:u w:val="single"/>
        </w:rPr>
      </w:pPr>
    </w:p>
    <w:p w:rsidRPr="00B205D7" w:rsidR="00304114" w:rsidP="002777BA" w:rsidRDefault="002777BA" w14:paraId="0FFCCD34" w14:textId="53DE8017">
      <w:pPr>
        <w:pStyle w:val="ListParagraph"/>
        <w:numPr>
          <w:ilvl w:val="0"/>
          <w:numId w:val="6"/>
        </w:numPr>
        <w:rPr>
          <w:rFonts w:eastAsia="Times New Roman"/>
          <w:b/>
          <w:sz w:val="24"/>
          <w:szCs w:val="24"/>
        </w:rPr>
      </w:pPr>
      <w:r w:rsidRPr="00B205D7">
        <w:rPr>
          <w:rFonts w:eastAsia="Times New Roman"/>
          <w:b/>
          <w:sz w:val="24"/>
          <w:szCs w:val="24"/>
        </w:rPr>
        <w:t xml:space="preserve">THE IMMIGRATION JUDGE’S FINDING THAT MS. </w:t>
      </w:r>
      <w:r w:rsidR="00706EEB">
        <w:rPr>
          <w:rFonts w:eastAsia="Times New Roman"/>
          <w:b/>
          <w:sz w:val="24"/>
          <w:szCs w:val="24"/>
        </w:rPr>
        <w:t>C-T-</w:t>
      </w:r>
      <w:r w:rsidRPr="00B205D7">
        <w:rPr>
          <w:rFonts w:eastAsia="Times New Roman"/>
          <w:b/>
          <w:sz w:val="24"/>
          <w:szCs w:val="24"/>
        </w:rPr>
        <w:t xml:space="preserve"> DOES NOT HAVE A WELL-FOUNDED FEAR OF PERSECUTION ON ACCOUNT OF HER MEMBERSHIP IN A PARTICULAR SOCIAL GROUP IS CLEARLY ERRONEOUS </w:t>
      </w:r>
      <w:r w:rsidRPr="00B205D7" w:rsidR="00304114">
        <w:rPr>
          <w:sz w:val="24"/>
          <w:szCs w:val="24"/>
        </w:rPr>
        <w:t xml:space="preserve">. . . . . . . . . . . . . . . . . . . . . . . . . . . . . . . . . . . . . . . . . . . . . . . . . . . </w:t>
      </w:r>
      <w:r w:rsidRPr="00B205D7">
        <w:rPr>
          <w:sz w:val="24"/>
          <w:szCs w:val="24"/>
        </w:rPr>
        <w:t>. . . . . . . .</w:t>
      </w:r>
    </w:p>
    <w:p w:rsidRPr="00B205D7" w:rsidR="007D7C33" w:rsidP="00304114" w:rsidRDefault="007D7C33" w14:paraId="0D21A2D8" w14:textId="77777777"/>
    <w:p w:rsidRPr="00B205D7" w:rsidR="007D7C33" w:rsidP="00304114" w:rsidRDefault="007D7C33" w14:paraId="5E70F66F" w14:textId="77777777"/>
    <w:p w:rsidRPr="00B205D7" w:rsidR="007D7C33" w:rsidP="0081089D" w:rsidRDefault="00304114" w14:paraId="750BACCD" w14:textId="2734729E">
      <w:pPr>
        <w:spacing w:line="480" w:lineRule="auto"/>
        <w:outlineLvl w:val="0"/>
        <w:rPr>
          <w:rFonts w:eastAsia="Times New Roman"/>
          <w:b/>
          <w:u w:val="single"/>
        </w:rPr>
      </w:pPr>
      <w:r w:rsidRPr="00B205D7">
        <w:rPr>
          <w:b/>
        </w:rPr>
        <w:t xml:space="preserve">CONCLUSION </w:t>
      </w:r>
      <w:r w:rsidRPr="00B205D7">
        <w:t>. . . . . . . . . . . . . . . . . . . . . . . . . . . . . . . . . . . . . . . . . . . . . . . . . . . . . . . . . . . . . . . .</w:t>
      </w:r>
    </w:p>
    <w:p w:rsidRPr="00B205D7" w:rsidR="00124A0C" w:rsidRDefault="00124A0C" w14:paraId="35D0AA6A" w14:textId="77777777">
      <w:pPr>
        <w:rPr>
          <w:rFonts w:eastAsia="Times New Roman"/>
          <w:b/>
          <w:u w:val="single"/>
        </w:rPr>
      </w:pPr>
      <w:r w:rsidRPr="00B205D7">
        <w:rPr>
          <w:rFonts w:eastAsia="Times New Roman"/>
          <w:b/>
          <w:u w:val="single"/>
        </w:rPr>
        <w:br w:type="page"/>
      </w:r>
    </w:p>
    <w:p w:rsidRPr="00B205D7" w:rsidR="003123D6" w:rsidP="00304114" w:rsidRDefault="003123D6" w14:paraId="4F8A389F" w14:textId="5F680D3C">
      <w:pPr>
        <w:jc w:val="center"/>
        <w:rPr>
          <w:rFonts w:eastAsia="Times New Roman"/>
          <w:b/>
          <w:u w:val="single"/>
        </w:rPr>
      </w:pPr>
      <w:r w:rsidRPr="00B205D7">
        <w:rPr>
          <w:rFonts w:eastAsia="Times New Roman"/>
          <w:b/>
          <w:u w:val="single"/>
        </w:rPr>
        <w:lastRenderedPageBreak/>
        <w:t>STATEMENT OF FACTS</w:t>
      </w:r>
    </w:p>
    <w:p w:rsidRPr="00B205D7" w:rsidR="00AE70BB" w:rsidP="006944E3" w:rsidRDefault="00AE70BB" w14:paraId="3E5AB2A4" w14:textId="77777777">
      <w:pPr>
        <w:rPr>
          <w:rFonts w:eastAsia="Times New Roman"/>
          <w:b/>
          <w:u w:val="single"/>
        </w:rPr>
      </w:pPr>
    </w:p>
    <w:p w:rsidRPr="00B205D7" w:rsidR="006944E3" w:rsidP="00927022" w:rsidRDefault="006944E3" w14:paraId="30A84D03" w14:textId="79D667B2">
      <w:pPr>
        <w:pStyle w:val="ListParagraph"/>
        <w:numPr>
          <w:ilvl w:val="0"/>
          <w:numId w:val="19"/>
        </w:numPr>
        <w:spacing w:line="480" w:lineRule="auto"/>
        <w:ind w:right="-90"/>
        <w:outlineLvl w:val="0"/>
        <w:rPr>
          <w:b/>
          <w:sz w:val="24"/>
          <w:szCs w:val="24"/>
        </w:rPr>
      </w:pPr>
      <w:r w:rsidRPr="00B205D7">
        <w:rPr>
          <w:b/>
          <w:sz w:val="24"/>
          <w:szCs w:val="24"/>
        </w:rPr>
        <w:t xml:space="preserve">FACTS SPECIFIC TO MS. </w:t>
      </w:r>
      <w:r w:rsidR="00706EEB">
        <w:rPr>
          <w:b/>
          <w:sz w:val="24"/>
          <w:szCs w:val="24"/>
        </w:rPr>
        <w:t>C-T-</w:t>
      </w:r>
      <w:r w:rsidRPr="00B205D7" w:rsidR="003D2E6D">
        <w:rPr>
          <w:rStyle w:val="FootnoteReference"/>
          <w:b/>
          <w:sz w:val="24"/>
          <w:szCs w:val="24"/>
        </w:rPr>
        <w:footnoteReference w:id="1"/>
      </w:r>
    </w:p>
    <w:p w:rsidRPr="00B205D7" w:rsidR="003123D6" w:rsidP="003123D6" w:rsidRDefault="003123D6" w14:paraId="2FAF5A5E" w14:textId="25EC4F24">
      <w:pPr>
        <w:spacing w:line="480" w:lineRule="auto"/>
        <w:rPr>
          <w:rFonts w:eastAsia="Times New Roman"/>
        </w:rPr>
      </w:pPr>
      <w:r w:rsidRPr="00B205D7">
        <w:rPr>
          <w:rFonts w:eastAsia="Times New Roman"/>
        </w:rPr>
        <w:tab/>
      </w:r>
      <w:r w:rsidR="00706EEB">
        <w:rPr>
          <w:rFonts w:eastAsia="Times New Roman"/>
        </w:rPr>
        <w:t>A-</w:t>
      </w:r>
      <w:r w:rsidRPr="00B205D7">
        <w:rPr>
          <w:rFonts w:eastAsia="Times New Roman"/>
        </w:rPr>
        <w:t xml:space="preserve"> </w:t>
      </w:r>
      <w:r w:rsidR="00706EEB">
        <w:rPr>
          <w:rFonts w:eastAsia="Times New Roman"/>
        </w:rPr>
        <w:t>C-T-</w:t>
      </w:r>
      <w:r w:rsidRPr="00B205D7">
        <w:rPr>
          <w:rFonts w:eastAsia="Times New Roman"/>
        </w:rPr>
        <w:t xml:space="preserve"> (“</w:t>
      </w:r>
      <w:r w:rsidR="00706EEB">
        <w:rPr>
          <w:rFonts w:eastAsia="Times New Roman"/>
        </w:rPr>
        <w:t>A-</w:t>
      </w:r>
      <w:r w:rsidRPr="00B205D7">
        <w:rPr>
          <w:rFonts w:eastAsia="Times New Roman"/>
        </w:rPr>
        <w:t>”) is a 34-year</w:t>
      </w:r>
      <w:r w:rsidR="00C47D73">
        <w:rPr>
          <w:rFonts w:eastAsia="Times New Roman"/>
        </w:rPr>
        <w:t>-</w:t>
      </w:r>
      <w:r w:rsidRPr="00B205D7">
        <w:rPr>
          <w:rFonts w:eastAsia="Times New Roman"/>
        </w:rPr>
        <w:t>old native and citizen of Mexico.</w:t>
      </w:r>
      <w:r w:rsidRPr="00B205D7">
        <w:rPr>
          <w:rStyle w:val="FootnoteReference"/>
          <w:rFonts w:eastAsia="Times New Roman"/>
        </w:rPr>
        <w:footnoteReference w:id="2"/>
      </w:r>
      <w:r w:rsidRPr="00B205D7">
        <w:rPr>
          <w:rFonts w:eastAsia="Times New Roman"/>
        </w:rPr>
        <w:t xml:space="preserve"> She has a college degree and worked full-time with a good salary for the Secretary of Rural Development of Puebla in Mexico</w:t>
      </w:r>
      <w:r w:rsidRPr="00B205D7" w:rsidR="00C83ED0">
        <w:rPr>
          <w:rFonts w:eastAsia="Times New Roman"/>
        </w:rPr>
        <w:t xml:space="preserve"> (SRD)</w:t>
      </w:r>
      <w:r w:rsidRPr="00B205D7">
        <w:rPr>
          <w:rFonts w:eastAsia="Times New Roman"/>
        </w:rPr>
        <w:t>.</w:t>
      </w:r>
      <w:r w:rsidRPr="00B205D7">
        <w:rPr>
          <w:rStyle w:val="FootnoteReference"/>
          <w:rFonts w:eastAsia="Times New Roman"/>
        </w:rPr>
        <w:footnoteReference w:id="3"/>
      </w:r>
      <w:r w:rsidRPr="00B205D7">
        <w:rPr>
          <w:rFonts w:eastAsia="Times New Roman"/>
        </w:rPr>
        <w:t xml:space="preserve"> As a rural community assessment technician, </w:t>
      </w:r>
      <w:r w:rsidR="00706EEB">
        <w:rPr>
          <w:rFonts w:eastAsia="Times New Roman"/>
        </w:rPr>
        <w:t>A-</w:t>
      </w:r>
      <w:r w:rsidRPr="00B205D7">
        <w:rPr>
          <w:rFonts w:eastAsia="Times New Roman"/>
        </w:rPr>
        <w:t xml:space="preserve"> was responsible for assisting farmers with filling out applications for government benefits to harvest and raise animals.</w:t>
      </w:r>
      <w:r w:rsidRPr="00B205D7">
        <w:rPr>
          <w:rStyle w:val="FootnoteReference"/>
          <w:rFonts w:eastAsia="Times New Roman"/>
        </w:rPr>
        <w:footnoteReference w:id="4"/>
      </w:r>
    </w:p>
    <w:p w:rsidRPr="00B205D7" w:rsidR="003123D6" w:rsidP="003123D6" w:rsidRDefault="003123D6" w14:paraId="752AA5F5" w14:textId="49180B17">
      <w:pPr>
        <w:spacing w:line="480" w:lineRule="auto"/>
        <w:rPr>
          <w:rFonts w:eastAsia="Times New Roman"/>
        </w:rPr>
      </w:pPr>
      <w:r w:rsidRPr="00B205D7">
        <w:rPr>
          <w:rFonts w:eastAsia="Times New Roman"/>
        </w:rPr>
        <w:tab/>
      </w:r>
      <w:r w:rsidR="00706EEB">
        <w:rPr>
          <w:rFonts w:eastAsia="Times New Roman"/>
        </w:rPr>
        <w:t>A-</w:t>
      </w:r>
      <w:r w:rsidRPr="00B205D7">
        <w:rPr>
          <w:rFonts w:eastAsia="Times New Roman"/>
        </w:rPr>
        <w:t xml:space="preserve"> met </w:t>
      </w:r>
      <w:r w:rsidR="00706EEB">
        <w:rPr>
          <w:rFonts w:eastAsia="Times New Roman"/>
        </w:rPr>
        <w:t xml:space="preserve">M-A-V- </w:t>
      </w:r>
      <w:r w:rsidRPr="00B205D7">
        <w:rPr>
          <w:rFonts w:eastAsia="Times New Roman"/>
        </w:rPr>
        <w:t>(“</w:t>
      </w:r>
      <w:r w:rsidR="00706EEB">
        <w:rPr>
          <w:rFonts w:eastAsia="Times New Roman"/>
        </w:rPr>
        <w:t>M-</w:t>
      </w:r>
      <w:r w:rsidRPr="00B205D7">
        <w:rPr>
          <w:rFonts w:eastAsia="Times New Roman"/>
        </w:rPr>
        <w:t xml:space="preserve">”) in 2007, while </w:t>
      </w:r>
      <w:r w:rsidRPr="00B205D7" w:rsidR="00C83ED0">
        <w:rPr>
          <w:rFonts w:eastAsia="Times New Roman"/>
        </w:rPr>
        <w:t xml:space="preserve">she was </w:t>
      </w:r>
      <w:r w:rsidRPr="00B205D7">
        <w:rPr>
          <w:rFonts w:eastAsia="Times New Roman"/>
        </w:rPr>
        <w:t>working for the SRD</w:t>
      </w:r>
      <w:r w:rsidRPr="00B205D7" w:rsidR="0009593D">
        <w:rPr>
          <w:rFonts w:eastAsia="Times New Roman"/>
        </w:rPr>
        <w:t>, a government agency</w:t>
      </w:r>
      <w:r w:rsidRPr="00B205D7">
        <w:rPr>
          <w:rFonts w:eastAsia="Times New Roman"/>
        </w:rPr>
        <w:t>.</w:t>
      </w:r>
      <w:r w:rsidRPr="00B205D7">
        <w:rPr>
          <w:rStyle w:val="FootnoteReference"/>
          <w:rFonts w:eastAsia="Times New Roman"/>
        </w:rPr>
        <w:footnoteReference w:id="5"/>
      </w:r>
      <w:r w:rsidRPr="00B205D7">
        <w:rPr>
          <w:rFonts w:eastAsia="Times New Roman"/>
        </w:rPr>
        <w:t xml:space="preserve"> </w:t>
      </w:r>
      <w:r w:rsidR="00706EEB">
        <w:rPr>
          <w:rFonts w:eastAsia="Times New Roman"/>
        </w:rPr>
        <w:t>M-</w:t>
      </w:r>
      <w:r w:rsidRPr="00B205D7">
        <w:rPr>
          <w:rFonts w:eastAsia="Times New Roman"/>
        </w:rPr>
        <w:t>’s family owns the second largest ranch in their municipality and has received a large amount of government support.</w:t>
      </w:r>
      <w:r w:rsidRPr="00B205D7">
        <w:rPr>
          <w:rStyle w:val="FootnoteReference"/>
          <w:rFonts w:eastAsia="Times New Roman"/>
        </w:rPr>
        <w:footnoteReference w:id="6"/>
      </w:r>
      <w:r w:rsidRPr="00B205D7">
        <w:rPr>
          <w:rFonts w:eastAsia="Times New Roman"/>
        </w:rPr>
        <w:t xml:space="preserve"> </w:t>
      </w:r>
      <w:r w:rsidR="00706EEB">
        <w:rPr>
          <w:rFonts w:eastAsia="Times New Roman"/>
        </w:rPr>
        <w:t>M-</w:t>
      </w:r>
      <w:r w:rsidRPr="00B205D7">
        <w:rPr>
          <w:rFonts w:eastAsia="Times New Roman"/>
        </w:rPr>
        <w:t>’s father is also a policeman who kept a rifle and two guns at home.</w:t>
      </w:r>
      <w:r w:rsidRPr="00B205D7">
        <w:rPr>
          <w:rStyle w:val="FootnoteReference"/>
          <w:rFonts w:eastAsia="Times New Roman"/>
        </w:rPr>
        <w:footnoteReference w:id="7"/>
      </w:r>
      <w:r w:rsidRPr="00B205D7">
        <w:rPr>
          <w:rFonts w:eastAsia="Times New Roman"/>
        </w:rPr>
        <w:t xml:space="preserve"> </w:t>
      </w:r>
      <w:r w:rsidR="00706EEB">
        <w:rPr>
          <w:rFonts w:eastAsia="Times New Roman"/>
        </w:rPr>
        <w:t>M-</w:t>
      </w:r>
      <w:r w:rsidRPr="00B205D7">
        <w:rPr>
          <w:rFonts w:eastAsia="Times New Roman"/>
        </w:rPr>
        <w:t xml:space="preserve"> also has cousins who are policemen. Six months after first meeting </w:t>
      </w:r>
      <w:r w:rsidR="00706EEB">
        <w:rPr>
          <w:rFonts w:eastAsia="Times New Roman"/>
        </w:rPr>
        <w:t>M-</w:t>
      </w:r>
      <w:r w:rsidRPr="00B205D7">
        <w:rPr>
          <w:rFonts w:eastAsia="Times New Roman"/>
        </w:rPr>
        <w:t xml:space="preserve">, </w:t>
      </w:r>
      <w:r w:rsidR="00706EEB">
        <w:rPr>
          <w:rFonts w:eastAsia="Times New Roman"/>
        </w:rPr>
        <w:t>A-</w:t>
      </w:r>
      <w:r w:rsidRPr="00B205D7">
        <w:rPr>
          <w:rFonts w:eastAsia="Times New Roman"/>
        </w:rPr>
        <w:t xml:space="preserve"> moved into </w:t>
      </w:r>
      <w:r w:rsidR="00706EEB">
        <w:rPr>
          <w:rFonts w:eastAsia="Times New Roman"/>
        </w:rPr>
        <w:t>M-</w:t>
      </w:r>
      <w:r w:rsidRPr="00B205D7">
        <w:rPr>
          <w:rFonts w:eastAsia="Times New Roman"/>
        </w:rPr>
        <w:t xml:space="preserve">’s family home in </w:t>
      </w:r>
      <w:proofErr w:type="spellStart"/>
      <w:r w:rsidRPr="00B205D7">
        <w:rPr>
          <w:rFonts w:eastAsia="Times New Roman"/>
        </w:rPr>
        <w:t>Tepeojuma</w:t>
      </w:r>
      <w:proofErr w:type="spellEnd"/>
      <w:r w:rsidRPr="00B205D7">
        <w:rPr>
          <w:rFonts w:eastAsia="Times New Roman"/>
        </w:rPr>
        <w:t xml:space="preserve">, Puebla, where </w:t>
      </w:r>
      <w:r w:rsidR="00706EEB">
        <w:rPr>
          <w:rFonts w:eastAsia="Times New Roman"/>
        </w:rPr>
        <w:t>M-</w:t>
      </w:r>
      <w:r w:rsidRPr="00B205D7">
        <w:rPr>
          <w:rFonts w:eastAsia="Times New Roman"/>
        </w:rPr>
        <w:t>’s parents and brother also lived.</w:t>
      </w:r>
      <w:r w:rsidRPr="00B205D7">
        <w:rPr>
          <w:rStyle w:val="FootnoteReference"/>
          <w:rFonts w:eastAsia="Times New Roman"/>
        </w:rPr>
        <w:footnoteReference w:id="8"/>
      </w:r>
    </w:p>
    <w:p w:rsidRPr="00B205D7" w:rsidR="003123D6" w:rsidP="003123D6" w:rsidRDefault="003123D6" w14:paraId="002D91BB" w14:textId="63D135A8">
      <w:pPr>
        <w:spacing w:line="480" w:lineRule="auto"/>
        <w:rPr>
          <w:rFonts w:eastAsia="Times New Roman"/>
        </w:rPr>
      </w:pPr>
      <w:r w:rsidRPr="00B205D7">
        <w:rPr>
          <w:rFonts w:eastAsia="Times New Roman"/>
        </w:rPr>
        <w:tab/>
      </w:r>
      <w:r w:rsidRPr="00B205D7" w:rsidR="00AA2B4E">
        <w:rPr>
          <w:rFonts w:eastAsia="Times New Roman"/>
        </w:rPr>
        <w:t>T</w:t>
      </w:r>
      <w:r w:rsidRPr="00B205D7">
        <w:rPr>
          <w:rFonts w:eastAsia="Times New Roman"/>
        </w:rPr>
        <w:t xml:space="preserve">hree months after </w:t>
      </w:r>
      <w:r w:rsidR="00706EEB">
        <w:rPr>
          <w:rFonts w:eastAsia="Times New Roman"/>
        </w:rPr>
        <w:t>A-</w:t>
      </w:r>
      <w:r w:rsidRPr="00B205D7">
        <w:rPr>
          <w:rFonts w:eastAsia="Times New Roman"/>
        </w:rPr>
        <w:t xml:space="preserve"> moved in with </w:t>
      </w:r>
      <w:r w:rsidR="00706EEB">
        <w:rPr>
          <w:rFonts w:eastAsia="Times New Roman"/>
        </w:rPr>
        <w:t>M-</w:t>
      </w:r>
      <w:r w:rsidRPr="00B205D7" w:rsidR="00AA2B4E">
        <w:rPr>
          <w:rFonts w:eastAsia="Times New Roman"/>
        </w:rPr>
        <w:t>, he began physically and emotionally abusing her</w:t>
      </w:r>
      <w:r w:rsidRPr="00B205D7">
        <w:rPr>
          <w:rFonts w:eastAsia="Times New Roman"/>
        </w:rPr>
        <w:t>.</w:t>
      </w:r>
      <w:r w:rsidRPr="00B205D7">
        <w:rPr>
          <w:rStyle w:val="FootnoteReference"/>
          <w:rFonts w:eastAsia="Times New Roman"/>
        </w:rPr>
        <w:footnoteReference w:id="9"/>
      </w:r>
      <w:r w:rsidRPr="00B205D7">
        <w:rPr>
          <w:rFonts w:eastAsia="Times New Roman"/>
        </w:rPr>
        <w:t xml:space="preserve"> He would call </w:t>
      </w:r>
      <w:r w:rsidR="00706EEB">
        <w:rPr>
          <w:rFonts w:eastAsia="Times New Roman"/>
        </w:rPr>
        <w:t>A-</w:t>
      </w:r>
      <w:r w:rsidRPr="00B205D7" w:rsidR="00C83ED0">
        <w:rPr>
          <w:rFonts w:eastAsia="Times New Roman"/>
        </w:rPr>
        <w:t>,</w:t>
      </w:r>
      <w:r w:rsidRPr="00B205D7">
        <w:rPr>
          <w:rFonts w:eastAsia="Times New Roman"/>
        </w:rPr>
        <w:t xml:space="preserve"> “stupid, worse than a bitch, and worth nothing.”</w:t>
      </w:r>
      <w:r w:rsidRPr="00B205D7">
        <w:rPr>
          <w:rStyle w:val="FootnoteReference"/>
          <w:rFonts w:eastAsia="Times New Roman"/>
        </w:rPr>
        <w:footnoteReference w:id="10"/>
      </w:r>
      <w:r w:rsidRPr="00B205D7">
        <w:rPr>
          <w:rFonts w:eastAsia="Times New Roman"/>
        </w:rPr>
        <w:t xml:space="preserve"> He would often punch her, kick her, and throw her against the wall.</w:t>
      </w:r>
      <w:r w:rsidRPr="00B205D7">
        <w:rPr>
          <w:rStyle w:val="FootnoteReference"/>
          <w:rFonts w:eastAsia="Times New Roman"/>
        </w:rPr>
        <w:footnoteReference w:id="11"/>
      </w:r>
      <w:r w:rsidRPr="00B205D7">
        <w:rPr>
          <w:rFonts w:eastAsia="Times New Roman"/>
        </w:rPr>
        <w:t xml:space="preserve"> He would rape her both while he was drunk and sober.</w:t>
      </w:r>
      <w:r w:rsidRPr="00B205D7">
        <w:rPr>
          <w:rStyle w:val="FootnoteReference"/>
          <w:rFonts w:eastAsia="Times New Roman"/>
        </w:rPr>
        <w:footnoteReference w:id="12"/>
      </w:r>
      <w:r w:rsidRPr="00B205D7">
        <w:rPr>
          <w:rFonts w:eastAsia="Times New Roman"/>
        </w:rPr>
        <w:t xml:space="preserve"> He would strike her with anything he had in his hands, including rope typically used for </w:t>
      </w:r>
      <w:r w:rsidRPr="00B205D7">
        <w:rPr>
          <w:rFonts w:eastAsia="Times New Roman"/>
        </w:rPr>
        <w:lastRenderedPageBreak/>
        <w:t>horses.</w:t>
      </w:r>
      <w:r w:rsidRPr="00B205D7">
        <w:rPr>
          <w:rStyle w:val="FootnoteReference"/>
          <w:rFonts w:eastAsia="Times New Roman"/>
        </w:rPr>
        <w:footnoteReference w:id="13"/>
      </w:r>
      <w:r w:rsidRPr="00B205D7">
        <w:rPr>
          <w:rFonts w:eastAsia="Times New Roman"/>
        </w:rPr>
        <w:t xml:space="preserve"> On one occasion, when </w:t>
      </w:r>
      <w:r w:rsidR="00706EEB">
        <w:rPr>
          <w:rFonts w:eastAsia="Times New Roman"/>
        </w:rPr>
        <w:t>M-</w:t>
      </w:r>
      <w:r w:rsidRPr="00B205D7">
        <w:rPr>
          <w:rFonts w:eastAsia="Times New Roman"/>
        </w:rPr>
        <w:t xml:space="preserve"> did</w:t>
      </w:r>
      <w:r w:rsidR="00C47D73">
        <w:rPr>
          <w:rFonts w:eastAsia="Times New Roman"/>
        </w:rPr>
        <w:t xml:space="preserve"> not</w:t>
      </w:r>
      <w:r w:rsidRPr="00B205D7">
        <w:rPr>
          <w:rFonts w:eastAsia="Times New Roman"/>
        </w:rPr>
        <w:t xml:space="preserve"> like what </w:t>
      </w:r>
      <w:r w:rsidR="00706EEB">
        <w:rPr>
          <w:rFonts w:eastAsia="Times New Roman"/>
        </w:rPr>
        <w:t>A-</w:t>
      </w:r>
      <w:r w:rsidRPr="00B205D7">
        <w:rPr>
          <w:rFonts w:eastAsia="Times New Roman"/>
        </w:rPr>
        <w:t xml:space="preserve"> cooked for him, he threw hot charcoals at her. He treated her as less than human.</w:t>
      </w:r>
      <w:r w:rsidRPr="00B205D7">
        <w:rPr>
          <w:rStyle w:val="FootnoteReference"/>
          <w:rFonts w:eastAsia="Times New Roman"/>
        </w:rPr>
        <w:footnoteReference w:id="14"/>
      </w:r>
      <w:r w:rsidRPr="00B205D7">
        <w:rPr>
          <w:rFonts w:eastAsia="Times New Roman"/>
        </w:rPr>
        <w:t xml:space="preserve"> </w:t>
      </w:r>
      <w:r w:rsidR="00706EEB">
        <w:rPr>
          <w:rFonts w:eastAsia="Times New Roman"/>
        </w:rPr>
        <w:t>M-</w:t>
      </w:r>
      <w:r w:rsidRPr="00B205D7">
        <w:rPr>
          <w:rFonts w:eastAsia="Times New Roman"/>
        </w:rPr>
        <w:t xml:space="preserve"> would beat </w:t>
      </w:r>
      <w:r w:rsidR="00706EEB">
        <w:rPr>
          <w:rFonts w:eastAsia="Times New Roman"/>
        </w:rPr>
        <w:t>A-</w:t>
      </w:r>
      <w:r w:rsidRPr="00B205D7">
        <w:rPr>
          <w:rFonts w:eastAsia="Times New Roman"/>
        </w:rPr>
        <w:t xml:space="preserve"> in front of his parents, but his parents did nothing to help her.</w:t>
      </w:r>
      <w:r w:rsidRPr="00B205D7">
        <w:rPr>
          <w:rStyle w:val="FootnoteReference"/>
          <w:rFonts w:eastAsia="Times New Roman"/>
        </w:rPr>
        <w:footnoteReference w:id="15"/>
      </w:r>
    </w:p>
    <w:p w:rsidRPr="00B205D7" w:rsidR="0009593D" w:rsidP="003123D6" w:rsidRDefault="003123D6" w14:paraId="175D38E9" w14:textId="1F1B3938">
      <w:pPr>
        <w:spacing w:line="480" w:lineRule="auto"/>
        <w:rPr>
          <w:rFonts w:eastAsia="Times New Roman"/>
        </w:rPr>
      </w:pPr>
      <w:r w:rsidRPr="00B205D7">
        <w:rPr>
          <w:rFonts w:eastAsia="Times New Roman"/>
        </w:rPr>
        <w:tab/>
      </w:r>
      <w:r w:rsidR="00706EEB">
        <w:rPr>
          <w:rFonts w:eastAsia="Times New Roman"/>
        </w:rPr>
        <w:t>M-</w:t>
      </w:r>
      <w:r w:rsidRPr="00B205D7">
        <w:rPr>
          <w:rFonts w:eastAsia="Times New Roman"/>
        </w:rPr>
        <w:t xml:space="preserve"> became particularly upset about things pertaining to </w:t>
      </w:r>
      <w:r w:rsidR="00706EEB">
        <w:rPr>
          <w:rFonts w:eastAsia="Times New Roman"/>
        </w:rPr>
        <w:t>A-</w:t>
      </w:r>
      <w:r w:rsidRPr="00B205D7">
        <w:rPr>
          <w:rFonts w:eastAsia="Times New Roman"/>
        </w:rPr>
        <w:t>’s work. He would become enraged and aggressive when co-workers would call her to ask about certain programs at work.</w:t>
      </w:r>
      <w:r w:rsidRPr="00B205D7">
        <w:rPr>
          <w:rStyle w:val="FootnoteReference"/>
          <w:rFonts w:eastAsia="Times New Roman"/>
        </w:rPr>
        <w:footnoteReference w:id="16"/>
      </w:r>
      <w:r w:rsidRPr="00B205D7">
        <w:rPr>
          <w:rFonts w:eastAsia="Times New Roman"/>
        </w:rPr>
        <w:t xml:space="preserve"> On one occasion, in April of 2008, </w:t>
      </w:r>
      <w:r w:rsidR="00706EEB">
        <w:rPr>
          <w:rFonts w:eastAsia="Times New Roman"/>
        </w:rPr>
        <w:t>A-</w:t>
      </w:r>
      <w:r w:rsidRPr="00B205D7">
        <w:rPr>
          <w:rFonts w:eastAsia="Times New Roman"/>
        </w:rPr>
        <w:t xml:space="preserve"> attended an agro-fishing event with </w:t>
      </w:r>
      <w:r w:rsidR="00706EEB">
        <w:rPr>
          <w:rFonts w:eastAsia="Times New Roman"/>
        </w:rPr>
        <w:t>M-</w:t>
      </w:r>
      <w:r w:rsidRPr="00B205D7">
        <w:rPr>
          <w:rFonts w:eastAsia="Times New Roman"/>
        </w:rPr>
        <w:t xml:space="preserve"> in her capacity as technician.</w:t>
      </w:r>
      <w:r w:rsidRPr="00B205D7">
        <w:rPr>
          <w:rStyle w:val="FootnoteReference"/>
          <w:rFonts w:eastAsia="Times New Roman"/>
        </w:rPr>
        <w:footnoteReference w:id="17"/>
      </w:r>
      <w:r w:rsidRPr="00B205D7">
        <w:rPr>
          <w:rFonts w:eastAsia="Times New Roman"/>
        </w:rPr>
        <w:t xml:space="preserve"> There, a co-worker told </w:t>
      </w:r>
      <w:r w:rsidR="00706EEB">
        <w:rPr>
          <w:rFonts w:eastAsia="Times New Roman"/>
        </w:rPr>
        <w:t>M-</w:t>
      </w:r>
      <w:r w:rsidRPr="00B205D7">
        <w:rPr>
          <w:rFonts w:eastAsia="Times New Roman"/>
        </w:rPr>
        <w:t xml:space="preserve"> that </w:t>
      </w:r>
      <w:r w:rsidR="00706EEB">
        <w:rPr>
          <w:rFonts w:eastAsia="Times New Roman"/>
        </w:rPr>
        <w:t>A-</w:t>
      </w:r>
      <w:r w:rsidRPr="00B205D7">
        <w:rPr>
          <w:rFonts w:eastAsia="Times New Roman"/>
        </w:rPr>
        <w:t xml:space="preserve"> was a good worker. This enraged </w:t>
      </w:r>
      <w:r w:rsidR="00706EEB">
        <w:rPr>
          <w:rFonts w:eastAsia="Times New Roman"/>
        </w:rPr>
        <w:t>M-</w:t>
      </w:r>
      <w:r w:rsidRPr="00B205D7">
        <w:rPr>
          <w:rFonts w:eastAsia="Times New Roman"/>
        </w:rPr>
        <w:t xml:space="preserve">, and he proceeded to strike </w:t>
      </w:r>
      <w:r w:rsidR="00706EEB">
        <w:rPr>
          <w:rFonts w:eastAsia="Times New Roman"/>
        </w:rPr>
        <w:t>A-</w:t>
      </w:r>
      <w:r w:rsidRPr="00B205D7">
        <w:rPr>
          <w:rFonts w:eastAsia="Times New Roman"/>
        </w:rPr>
        <w:t xml:space="preserve"> in front of her co-workers and other members of the department.</w:t>
      </w:r>
      <w:r w:rsidRPr="00B205D7">
        <w:rPr>
          <w:rStyle w:val="FootnoteReference"/>
          <w:rFonts w:eastAsia="Times New Roman"/>
        </w:rPr>
        <w:footnoteReference w:id="18"/>
      </w:r>
      <w:r w:rsidRPr="00B205D7">
        <w:rPr>
          <w:rFonts w:eastAsia="Times New Roman"/>
        </w:rPr>
        <w:t xml:space="preserve"> Nobody at SRD helped </w:t>
      </w:r>
      <w:r w:rsidR="00706EEB">
        <w:rPr>
          <w:rFonts w:eastAsia="Times New Roman"/>
        </w:rPr>
        <w:t>A-</w:t>
      </w:r>
      <w:r w:rsidRPr="00B205D7" w:rsidR="00AA2B4E">
        <w:rPr>
          <w:rFonts w:eastAsia="Times New Roman"/>
        </w:rPr>
        <w:t>,</w:t>
      </w:r>
      <w:r w:rsidRPr="00B205D7">
        <w:rPr>
          <w:rFonts w:eastAsia="Times New Roman"/>
        </w:rPr>
        <w:t xml:space="preserve"> nor did they provide her with information regarding resources to protect herself against </w:t>
      </w:r>
      <w:r w:rsidR="00706EEB">
        <w:rPr>
          <w:rFonts w:eastAsia="Times New Roman"/>
        </w:rPr>
        <w:t>M-</w:t>
      </w:r>
      <w:r w:rsidRPr="00B205D7">
        <w:rPr>
          <w:rFonts w:eastAsia="Times New Roman"/>
        </w:rPr>
        <w:t>.</w:t>
      </w:r>
      <w:r w:rsidRPr="00B205D7">
        <w:rPr>
          <w:rStyle w:val="FootnoteReference"/>
          <w:rFonts w:eastAsia="Times New Roman"/>
        </w:rPr>
        <w:footnoteReference w:id="19"/>
      </w:r>
      <w:r w:rsidRPr="00B205D7">
        <w:rPr>
          <w:rFonts w:eastAsia="Times New Roman"/>
        </w:rPr>
        <w:t xml:space="preserve"> She filed a complaint with the police, but she was told that they could not get involved because </w:t>
      </w:r>
      <w:r w:rsidRPr="00B205D7" w:rsidR="0009593D">
        <w:rPr>
          <w:rFonts w:eastAsia="Times New Roman"/>
        </w:rPr>
        <w:t xml:space="preserve">this </w:t>
      </w:r>
      <w:r w:rsidRPr="00B205D7">
        <w:rPr>
          <w:rFonts w:eastAsia="Times New Roman"/>
        </w:rPr>
        <w:t xml:space="preserve">was a problem between </w:t>
      </w:r>
      <w:r w:rsidRPr="00B205D7" w:rsidR="0009593D">
        <w:rPr>
          <w:rFonts w:eastAsia="Times New Roman"/>
        </w:rPr>
        <w:t xml:space="preserve">the </w:t>
      </w:r>
      <w:r w:rsidRPr="00B205D7">
        <w:rPr>
          <w:rFonts w:eastAsia="Times New Roman"/>
        </w:rPr>
        <w:t>couple.</w:t>
      </w:r>
      <w:r w:rsidRPr="00B205D7">
        <w:rPr>
          <w:rStyle w:val="FootnoteReference"/>
          <w:rFonts w:eastAsia="Times New Roman"/>
        </w:rPr>
        <w:footnoteReference w:id="20"/>
      </w:r>
      <w:r w:rsidRPr="00B205D7">
        <w:rPr>
          <w:rFonts w:eastAsia="Times New Roman"/>
        </w:rPr>
        <w:t xml:space="preserve"> When </w:t>
      </w:r>
      <w:r w:rsidR="00706EEB">
        <w:rPr>
          <w:rFonts w:eastAsia="Times New Roman"/>
        </w:rPr>
        <w:t>M-</w:t>
      </w:r>
      <w:r w:rsidRPr="00B205D7">
        <w:rPr>
          <w:rFonts w:eastAsia="Times New Roman"/>
        </w:rPr>
        <w:t xml:space="preserve"> found out about the police complaint, he beat </w:t>
      </w:r>
      <w:r w:rsidR="00706EEB">
        <w:rPr>
          <w:rFonts w:eastAsia="Times New Roman"/>
        </w:rPr>
        <w:t>A-</w:t>
      </w:r>
      <w:r w:rsidRPr="00B205D7">
        <w:rPr>
          <w:rFonts w:eastAsia="Times New Roman"/>
        </w:rPr>
        <w:t xml:space="preserve"> severely and told her next time he would kill her.</w:t>
      </w:r>
      <w:r w:rsidRPr="00B205D7">
        <w:rPr>
          <w:rStyle w:val="FootnoteReference"/>
          <w:rFonts w:eastAsia="Times New Roman"/>
        </w:rPr>
        <w:footnoteReference w:id="21"/>
      </w:r>
      <w:r w:rsidRPr="00B205D7">
        <w:rPr>
          <w:rFonts w:eastAsia="Times New Roman"/>
        </w:rPr>
        <w:t xml:space="preserve"> </w:t>
      </w:r>
    </w:p>
    <w:p w:rsidRPr="00B205D7" w:rsidR="003123D6" w:rsidP="00837678" w:rsidRDefault="003123D6" w14:paraId="6F3C71CC" w14:textId="52E5E394">
      <w:pPr>
        <w:spacing w:line="480" w:lineRule="auto"/>
        <w:ind w:firstLine="720"/>
        <w:rPr>
          <w:rFonts w:eastAsia="Times New Roman"/>
        </w:rPr>
      </w:pPr>
      <w:r w:rsidRPr="00B205D7">
        <w:rPr>
          <w:rFonts w:eastAsia="Times New Roman"/>
        </w:rPr>
        <w:t xml:space="preserve">In May 2008, </w:t>
      </w:r>
      <w:r w:rsidR="00706EEB">
        <w:rPr>
          <w:rFonts w:eastAsia="Times New Roman"/>
        </w:rPr>
        <w:t>A-</w:t>
      </w:r>
      <w:r w:rsidRPr="00B205D7">
        <w:rPr>
          <w:rFonts w:eastAsia="Times New Roman"/>
        </w:rPr>
        <w:t xml:space="preserve"> was terminated from her job because of her visible bruises. She was told that because she was considered a public figure, the agency could not have someone constantly bruised representing them and removal was necessary to “keep a healthy working environment” in the office.</w:t>
      </w:r>
      <w:r w:rsidRPr="00B205D7">
        <w:rPr>
          <w:rStyle w:val="FootnoteReference"/>
          <w:rFonts w:eastAsia="Times New Roman"/>
        </w:rPr>
        <w:footnoteReference w:id="22"/>
      </w:r>
    </w:p>
    <w:p w:rsidRPr="00B205D7" w:rsidR="003123D6" w:rsidP="003123D6" w:rsidRDefault="003123D6" w14:paraId="7CE68828" w14:textId="244C1112">
      <w:pPr>
        <w:spacing w:line="480" w:lineRule="auto"/>
        <w:rPr>
          <w:rFonts w:eastAsia="Times New Roman"/>
        </w:rPr>
      </w:pPr>
      <w:r w:rsidRPr="00B205D7">
        <w:rPr>
          <w:rFonts w:eastAsia="Times New Roman"/>
        </w:rPr>
        <w:lastRenderedPageBreak/>
        <w:tab/>
      </w:r>
      <w:r w:rsidRPr="00B205D7">
        <w:rPr>
          <w:rFonts w:eastAsia="Times New Roman"/>
        </w:rPr>
        <w:t xml:space="preserve">In August 2008, </w:t>
      </w:r>
      <w:r w:rsidR="00706EEB">
        <w:rPr>
          <w:rFonts w:eastAsia="Times New Roman"/>
        </w:rPr>
        <w:t>A-</w:t>
      </w:r>
      <w:r w:rsidRPr="00B205D7">
        <w:rPr>
          <w:rFonts w:eastAsia="Times New Roman"/>
        </w:rPr>
        <w:t xml:space="preserve"> reported </w:t>
      </w:r>
      <w:r w:rsidR="00706EEB">
        <w:rPr>
          <w:rFonts w:eastAsia="Times New Roman"/>
        </w:rPr>
        <w:t>M-</w:t>
      </w:r>
      <w:r w:rsidRPr="00B205D7">
        <w:rPr>
          <w:rFonts w:eastAsia="Times New Roman"/>
        </w:rPr>
        <w:t xml:space="preserve"> to the police again, this time because he beat her so severely that he caused her to miscarry her unborn child.</w:t>
      </w:r>
      <w:r w:rsidRPr="00B205D7">
        <w:rPr>
          <w:rStyle w:val="FootnoteReference"/>
          <w:rFonts w:eastAsia="Times New Roman"/>
        </w:rPr>
        <w:footnoteReference w:id="23"/>
      </w:r>
      <w:r w:rsidRPr="00B205D7">
        <w:rPr>
          <w:rFonts w:eastAsia="Times New Roman"/>
        </w:rPr>
        <w:t xml:space="preserve"> She went to the hospital to remove the fetal tissue that remained in her womb and to treat abundant bleeding due to blows to the abdomen.</w:t>
      </w:r>
      <w:r w:rsidRPr="00B205D7">
        <w:rPr>
          <w:rStyle w:val="FootnoteReference"/>
          <w:rFonts w:eastAsia="Times New Roman"/>
        </w:rPr>
        <w:footnoteReference w:id="24"/>
      </w:r>
      <w:r w:rsidRPr="00B205D7">
        <w:rPr>
          <w:rFonts w:eastAsia="Times New Roman"/>
        </w:rPr>
        <w:t xml:space="preserve"> However, the police never investigated the second report.</w:t>
      </w:r>
      <w:r w:rsidRPr="00B205D7">
        <w:rPr>
          <w:rStyle w:val="FootnoteReference"/>
          <w:rFonts w:eastAsia="Times New Roman"/>
        </w:rPr>
        <w:footnoteReference w:id="25"/>
      </w:r>
      <w:r w:rsidRPr="00B205D7">
        <w:rPr>
          <w:rFonts w:eastAsia="Times New Roman"/>
        </w:rPr>
        <w:t xml:space="preserve"> </w:t>
      </w:r>
    </w:p>
    <w:p w:rsidRPr="00B205D7" w:rsidR="003123D6" w:rsidP="003123D6" w:rsidRDefault="003123D6" w14:paraId="33026815" w14:textId="63C3005B">
      <w:pPr>
        <w:spacing w:line="480" w:lineRule="auto"/>
        <w:rPr>
          <w:rFonts w:eastAsia="Times New Roman"/>
        </w:rPr>
      </w:pPr>
      <w:r w:rsidRPr="00B205D7">
        <w:rPr>
          <w:rFonts w:eastAsia="Times New Roman"/>
        </w:rPr>
        <w:tab/>
      </w:r>
      <w:r w:rsidRPr="00B205D7">
        <w:rPr>
          <w:rFonts w:eastAsia="Times New Roman"/>
        </w:rPr>
        <w:t xml:space="preserve">Because of the continuing abuse, in October 2008, without informing anyone, </w:t>
      </w:r>
      <w:r w:rsidR="00706EEB">
        <w:rPr>
          <w:rFonts w:eastAsia="Times New Roman"/>
        </w:rPr>
        <w:t>A-</w:t>
      </w:r>
      <w:r w:rsidRPr="00B205D7">
        <w:rPr>
          <w:rFonts w:eastAsia="Times New Roman"/>
        </w:rPr>
        <w:t xml:space="preserve"> went to go stay with her sister, Rocio, in </w:t>
      </w:r>
      <w:proofErr w:type="spellStart"/>
      <w:r w:rsidRPr="00B205D7">
        <w:rPr>
          <w:rFonts w:eastAsia="Times New Roman"/>
        </w:rPr>
        <w:t>Tecamac</w:t>
      </w:r>
      <w:proofErr w:type="spellEnd"/>
      <w:r w:rsidRPr="00B205D7">
        <w:rPr>
          <w:rFonts w:eastAsia="Times New Roman"/>
        </w:rPr>
        <w:t>, Mexico.</w:t>
      </w:r>
      <w:r w:rsidRPr="00B205D7">
        <w:rPr>
          <w:rStyle w:val="FootnoteReference"/>
          <w:rFonts w:eastAsia="Times New Roman"/>
        </w:rPr>
        <w:footnoteReference w:id="26"/>
      </w:r>
      <w:r w:rsidRPr="00B205D7">
        <w:rPr>
          <w:rFonts w:eastAsia="Times New Roman"/>
        </w:rPr>
        <w:t xml:space="preserve"> </w:t>
      </w:r>
      <w:proofErr w:type="spellStart"/>
      <w:r w:rsidRPr="00B205D7">
        <w:rPr>
          <w:rFonts w:eastAsia="Times New Roman"/>
        </w:rPr>
        <w:t>Tecemac</w:t>
      </w:r>
      <w:proofErr w:type="spellEnd"/>
      <w:r w:rsidRPr="00B205D7">
        <w:rPr>
          <w:rFonts w:eastAsia="Times New Roman"/>
        </w:rPr>
        <w:t xml:space="preserve"> is in another state and is six hours away from </w:t>
      </w:r>
      <w:proofErr w:type="spellStart"/>
      <w:r w:rsidRPr="00B205D7">
        <w:rPr>
          <w:rFonts w:eastAsia="Times New Roman"/>
        </w:rPr>
        <w:t>Tepacuma</w:t>
      </w:r>
      <w:proofErr w:type="spellEnd"/>
      <w:r w:rsidRPr="00B205D7">
        <w:rPr>
          <w:rFonts w:eastAsia="Times New Roman"/>
        </w:rPr>
        <w:t>.</w:t>
      </w:r>
      <w:r w:rsidRPr="00B205D7">
        <w:rPr>
          <w:rStyle w:val="FootnoteReference"/>
          <w:rFonts w:eastAsia="Times New Roman"/>
        </w:rPr>
        <w:footnoteReference w:id="27"/>
      </w:r>
      <w:r w:rsidRPr="00B205D7">
        <w:rPr>
          <w:rFonts w:eastAsia="Times New Roman"/>
        </w:rPr>
        <w:t xml:space="preserve"> However, </w:t>
      </w:r>
      <w:r w:rsidR="00706EEB">
        <w:rPr>
          <w:rFonts w:eastAsia="Times New Roman"/>
        </w:rPr>
        <w:t>M-</w:t>
      </w:r>
      <w:r w:rsidRPr="00B205D7">
        <w:rPr>
          <w:rFonts w:eastAsia="Times New Roman"/>
        </w:rPr>
        <w:t xml:space="preserve"> was able to somehow find her at Rocio’s home and threatened to harm Laura, </w:t>
      </w:r>
      <w:r w:rsidR="00706EEB">
        <w:rPr>
          <w:rFonts w:eastAsia="Times New Roman"/>
        </w:rPr>
        <w:t>A-</w:t>
      </w:r>
      <w:r w:rsidRPr="00B205D7">
        <w:rPr>
          <w:rFonts w:eastAsia="Times New Roman"/>
        </w:rPr>
        <w:t xml:space="preserve">’s younger sister, if </w:t>
      </w:r>
      <w:r w:rsidR="00706EEB">
        <w:rPr>
          <w:rFonts w:eastAsia="Times New Roman"/>
        </w:rPr>
        <w:t>A-</w:t>
      </w:r>
      <w:r w:rsidRPr="00B205D7">
        <w:rPr>
          <w:rFonts w:eastAsia="Times New Roman"/>
        </w:rPr>
        <w:t xml:space="preserve"> did not return home.</w:t>
      </w:r>
      <w:r w:rsidRPr="00B205D7">
        <w:rPr>
          <w:rStyle w:val="FootnoteReference"/>
          <w:rFonts w:eastAsia="Times New Roman"/>
        </w:rPr>
        <w:footnoteReference w:id="28"/>
      </w:r>
      <w:r w:rsidRPr="00B205D7">
        <w:rPr>
          <w:rFonts w:eastAsia="Times New Roman"/>
        </w:rPr>
        <w:t xml:space="preserve"> Afraid, </w:t>
      </w:r>
      <w:r w:rsidR="00706EEB">
        <w:rPr>
          <w:rFonts w:eastAsia="Times New Roman"/>
        </w:rPr>
        <w:t>A-</w:t>
      </w:r>
      <w:r w:rsidRPr="00B205D7">
        <w:rPr>
          <w:rFonts w:eastAsia="Times New Roman"/>
        </w:rPr>
        <w:t xml:space="preserve"> left with </w:t>
      </w:r>
      <w:r w:rsidR="00706EEB">
        <w:rPr>
          <w:rFonts w:eastAsia="Times New Roman"/>
        </w:rPr>
        <w:t>M-</w:t>
      </w:r>
      <w:r w:rsidRPr="00B205D7">
        <w:rPr>
          <w:rFonts w:eastAsia="Times New Roman"/>
        </w:rPr>
        <w:t>. She then decided she had to leave Mexico</w:t>
      </w:r>
      <w:r w:rsidRPr="00B205D7" w:rsidR="00F9327E">
        <w:rPr>
          <w:rFonts w:eastAsia="Times New Roman"/>
        </w:rPr>
        <w:t xml:space="preserve"> for good</w:t>
      </w:r>
      <w:r w:rsidRPr="00B205D7">
        <w:rPr>
          <w:rFonts w:eastAsia="Times New Roman"/>
        </w:rPr>
        <w:t xml:space="preserve"> to be safe.</w:t>
      </w:r>
      <w:r w:rsidRPr="00B205D7">
        <w:rPr>
          <w:rStyle w:val="FootnoteReference"/>
          <w:rFonts w:eastAsia="Times New Roman"/>
        </w:rPr>
        <w:footnoteReference w:id="29"/>
      </w:r>
      <w:r w:rsidRPr="00B205D7">
        <w:rPr>
          <w:rFonts w:eastAsia="Times New Roman"/>
        </w:rPr>
        <w:t xml:space="preserve"> </w:t>
      </w:r>
    </w:p>
    <w:p w:rsidRPr="00B205D7" w:rsidR="00CC1C02" w:rsidP="00810679" w:rsidRDefault="003123D6" w14:paraId="7DDD8C9F" w14:textId="60772245">
      <w:pPr>
        <w:spacing w:line="480" w:lineRule="auto"/>
        <w:rPr>
          <w:rFonts w:eastAsia="Times New Roman"/>
          <w:b/>
          <w:u w:val="single"/>
        </w:rPr>
      </w:pPr>
      <w:r w:rsidRPr="00B205D7">
        <w:rPr>
          <w:rFonts w:eastAsia="Times New Roman"/>
        </w:rPr>
        <w:tab/>
      </w:r>
      <w:r w:rsidR="00706EEB">
        <w:rPr>
          <w:rFonts w:eastAsia="Times New Roman"/>
        </w:rPr>
        <w:t>A-</w:t>
      </w:r>
      <w:r w:rsidRPr="00B205D7">
        <w:rPr>
          <w:rFonts w:eastAsia="Times New Roman"/>
        </w:rPr>
        <w:t xml:space="preserve"> left Mexico in early 2009</w:t>
      </w:r>
      <w:r w:rsidRPr="00B205D7" w:rsidR="0009593D">
        <w:rPr>
          <w:rFonts w:eastAsia="Times New Roman"/>
        </w:rPr>
        <w:t xml:space="preserve"> and came to the U.S.</w:t>
      </w:r>
      <w:r w:rsidRPr="00B205D7">
        <w:rPr>
          <w:rFonts w:eastAsia="Times New Roman"/>
        </w:rPr>
        <w:t xml:space="preserve">, but </w:t>
      </w:r>
      <w:r w:rsidRPr="00B205D7" w:rsidR="0009593D">
        <w:rPr>
          <w:rFonts w:eastAsia="Times New Roman"/>
        </w:rPr>
        <w:t xml:space="preserve">she </w:t>
      </w:r>
      <w:r w:rsidRPr="00B205D7">
        <w:rPr>
          <w:rFonts w:eastAsia="Times New Roman"/>
        </w:rPr>
        <w:t xml:space="preserve">was immediately removed to Mexico. She re-entered the U.S. two weeks later, painfully aware that </w:t>
      </w:r>
      <w:r w:rsidR="00706EEB">
        <w:rPr>
          <w:rFonts w:eastAsia="Times New Roman"/>
        </w:rPr>
        <w:t>M-</w:t>
      </w:r>
      <w:r w:rsidRPr="00B205D7">
        <w:rPr>
          <w:rFonts w:eastAsia="Times New Roman"/>
        </w:rPr>
        <w:t xml:space="preserve"> was capable of and willing to kill her and knowing he could find her anywhere in Mexico.</w:t>
      </w:r>
      <w:r w:rsidRPr="00B205D7">
        <w:rPr>
          <w:rStyle w:val="FootnoteReference"/>
          <w:rFonts w:eastAsia="Times New Roman"/>
        </w:rPr>
        <w:footnoteReference w:id="30"/>
      </w:r>
      <w:r w:rsidRPr="00B205D7">
        <w:rPr>
          <w:rFonts w:eastAsia="Times New Roman"/>
        </w:rPr>
        <w:t xml:space="preserve"> </w:t>
      </w:r>
      <w:r w:rsidR="00706EEB">
        <w:rPr>
          <w:rFonts w:eastAsia="Times New Roman"/>
        </w:rPr>
        <w:t>A-</w:t>
      </w:r>
      <w:r w:rsidRPr="00B205D7">
        <w:rPr>
          <w:rFonts w:eastAsia="Times New Roman"/>
        </w:rPr>
        <w:t xml:space="preserve"> assumed </w:t>
      </w:r>
      <w:r w:rsidR="00706EEB">
        <w:rPr>
          <w:rFonts w:eastAsia="Times New Roman"/>
        </w:rPr>
        <w:t>M-</w:t>
      </w:r>
      <w:r w:rsidRPr="00B205D7">
        <w:rPr>
          <w:rFonts w:eastAsia="Times New Roman"/>
        </w:rPr>
        <w:t xml:space="preserve"> would have forgotten her in 2014 when s</w:t>
      </w:r>
      <w:r w:rsidRPr="00B205D7" w:rsidR="00F9327E">
        <w:rPr>
          <w:rFonts w:eastAsia="Times New Roman"/>
        </w:rPr>
        <w:t>he contemplated returning home</w:t>
      </w:r>
      <w:r w:rsidRPr="00B205D7" w:rsidR="0009593D">
        <w:rPr>
          <w:rFonts w:eastAsia="Times New Roman"/>
        </w:rPr>
        <w:t>.</w:t>
      </w:r>
      <w:r w:rsidRPr="00B205D7" w:rsidR="00F9327E">
        <w:rPr>
          <w:rFonts w:eastAsia="Times New Roman"/>
        </w:rPr>
        <w:t xml:space="preserve"> </w:t>
      </w:r>
      <w:r w:rsidRPr="00B205D7" w:rsidR="0009593D">
        <w:rPr>
          <w:rFonts w:eastAsia="Times New Roman"/>
        </w:rPr>
        <w:t>H</w:t>
      </w:r>
      <w:r w:rsidRPr="00B205D7">
        <w:rPr>
          <w:rFonts w:eastAsia="Times New Roman"/>
        </w:rPr>
        <w:t xml:space="preserve">aving only told a few friends and family members of her intent, </w:t>
      </w:r>
      <w:bookmarkStart w:name="OLE_LINK6" w:id="7"/>
      <w:r w:rsidRPr="00B205D7">
        <w:rPr>
          <w:rFonts w:eastAsia="Times New Roman"/>
        </w:rPr>
        <w:t xml:space="preserve">she nonetheless received a phone call from </w:t>
      </w:r>
      <w:r w:rsidR="00706EEB">
        <w:rPr>
          <w:rFonts w:eastAsia="Times New Roman"/>
        </w:rPr>
        <w:t>M-</w:t>
      </w:r>
      <w:r w:rsidRPr="00B205D7">
        <w:rPr>
          <w:rFonts w:eastAsia="Times New Roman"/>
        </w:rPr>
        <w:t xml:space="preserve"> on her (U.S.) cell phone</w:t>
      </w:r>
      <w:bookmarkEnd w:id="7"/>
      <w:r w:rsidRPr="00B205D7">
        <w:rPr>
          <w:rFonts w:eastAsia="Times New Roman"/>
        </w:rPr>
        <w:t>.</w:t>
      </w:r>
      <w:r w:rsidRPr="00B205D7">
        <w:rPr>
          <w:rStyle w:val="FootnoteReference"/>
          <w:rFonts w:eastAsia="Times New Roman"/>
        </w:rPr>
        <w:footnoteReference w:id="31"/>
      </w:r>
      <w:r w:rsidRPr="00B205D7">
        <w:rPr>
          <w:rFonts w:eastAsia="Times New Roman"/>
        </w:rPr>
        <w:t xml:space="preserve"> She does not know how he obtained her phone number. </w:t>
      </w:r>
      <w:r w:rsidR="00706EEB">
        <w:rPr>
          <w:rFonts w:eastAsia="Times New Roman"/>
        </w:rPr>
        <w:t>M-</w:t>
      </w:r>
      <w:r w:rsidRPr="00B205D7">
        <w:rPr>
          <w:rFonts w:eastAsia="Times New Roman"/>
        </w:rPr>
        <w:t xml:space="preserve"> told </w:t>
      </w:r>
      <w:r w:rsidR="00706EEB">
        <w:rPr>
          <w:rFonts w:eastAsia="Times New Roman"/>
        </w:rPr>
        <w:t>A-</w:t>
      </w:r>
      <w:r w:rsidRPr="00B205D7">
        <w:rPr>
          <w:rFonts w:eastAsia="Times New Roman"/>
        </w:rPr>
        <w:t xml:space="preserve"> he would wait for her return, and that he would kill her.</w:t>
      </w:r>
      <w:r w:rsidRPr="00B205D7">
        <w:rPr>
          <w:rStyle w:val="FootnoteReference"/>
          <w:rFonts w:eastAsia="Times New Roman"/>
        </w:rPr>
        <w:footnoteReference w:id="32"/>
      </w:r>
      <w:r w:rsidRPr="00B205D7">
        <w:rPr>
          <w:rFonts w:eastAsia="Times New Roman"/>
        </w:rPr>
        <w:t xml:space="preserve"> </w:t>
      </w:r>
    </w:p>
    <w:p w:rsidRPr="00B205D7" w:rsidR="006944E3" w:rsidP="00810679" w:rsidRDefault="006944E3" w14:paraId="26B0CFEB" w14:textId="7EF2178E">
      <w:pPr>
        <w:pStyle w:val="ListParagraph"/>
        <w:numPr>
          <w:ilvl w:val="0"/>
          <w:numId w:val="7"/>
        </w:numPr>
        <w:rPr>
          <w:rFonts w:eastAsia="Times New Roman"/>
          <w:sz w:val="24"/>
          <w:szCs w:val="24"/>
        </w:rPr>
      </w:pPr>
      <w:r w:rsidRPr="00B205D7">
        <w:rPr>
          <w:b/>
          <w:sz w:val="24"/>
          <w:szCs w:val="24"/>
        </w:rPr>
        <w:t xml:space="preserve">COUNTRY CONDITIONS </w:t>
      </w:r>
    </w:p>
    <w:p w:rsidRPr="00B205D7" w:rsidR="006944E3" w:rsidP="00810679" w:rsidRDefault="006944E3" w14:paraId="789F9E52" w14:textId="77777777">
      <w:pPr>
        <w:rPr>
          <w:rFonts w:eastAsia="Times New Roman"/>
        </w:rPr>
      </w:pPr>
    </w:p>
    <w:p w:rsidRPr="00B205D7" w:rsidR="003123D6" w:rsidP="003123D6" w:rsidRDefault="003123D6" w14:paraId="07A0ACBD" w14:textId="5D440010">
      <w:pPr>
        <w:spacing w:line="480" w:lineRule="auto"/>
        <w:ind w:firstLine="720"/>
        <w:rPr>
          <w:rFonts w:eastAsia="Times New Roman"/>
        </w:rPr>
      </w:pPr>
      <w:r w:rsidRPr="00B205D7">
        <w:rPr>
          <w:rFonts w:eastAsia="Times New Roman"/>
        </w:rPr>
        <w:t>Various reports and articles from both the United States and Mexico have shown that gender-based violence, or “</w:t>
      </w:r>
      <w:proofErr w:type="spellStart"/>
      <w:r w:rsidRPr="00B205D7">
        <w:rPr>
          <w:rFonts w:eastAsia="Times New Roman"/>
        </w:rPr>
        <w:t>femicide</w:t>
      </w:r>
      <w:proofErr w:type="spellEnd"/>
      <w:r w:rsidRPr="00B205D7">
        <w:rPr>
          <w:rFonts w:eastAsia="Times New Roman"/>
        </w:rPr>
        <w:t xml:space="preserve">,” has long been a serious issue throughout Mexico. </w:t>
      </w:r>
      <w:r w:rsidRPr="00B205D7">
        <w:rPr>
          <w:rFonts w:eastAsia="Times New Roman"/>
        </w:rPr>
        <w:lastRenderedPageBreak/>
        <w:t>According to the Women’s Media Center, Mexico has one of the highest rates of gender violence in the world, with 67 percent of its women having suffered domestic violence.</w:t>
      </w:r>
      <w:r w:rsidRPr="00B205D7">
        <w:rPr>
          <w:rStyle w:val="FootnoteReference"/>
          <w:rFonts w:eastAsia="Times New Roman"/>
        </w:rPr>
        <w:footnoteReference w:id="33"/>
      </w:r>
      <w:r w:rsidRPr="00B205D7">
        <w:rPr>
          <w:rFonts w:eastAsia="Times New Roman"/>
        </w:rPr>
        <w:t xml:space="preserve"> The number for Guatemala, a country notorious for its domestic violence issue, is 47 percent.</w:t>
      </w:r>
      <w:r w:rsidRPr="00B205D7">
        <w:rPr>
          <w:rStyle w:val="FootnoteReference"/>
          <w:rFonts w:eastAsia="Times New Roman"/>
        </w:rPr>
        <w:footnoteReference w:id="34"/>
      </w:r>
      <w:r w:rsidRPr="00B205D7">
        <w:rPr>
          <w:rFonts w:eastAsia="Times New Roman"/>
        </w:rPr>
        <w:t xml:space="preserve"> The report states that most of these cases likely involve a partner or ex-partner, as 40 percent of these violent cases occur in a woman’s home.</w:t>
      </w:r>
      <w:r w:rsidRPr="00B205D7">
        <w:rPr>
          <w:rStyle w:val="FootnoteReference"/>
          <w:rFonts w:eastAsia="Times New Roman"/>
        </w:rPr>
        <w:footnoteReference w:id="35"/>
      </w:r>
      <w:r w:rsidRPr="00B205D7">
        <w:rPr>
          <w:rFonts w:eastAsia="Times New Roman"/>
        </w:rPr>
        <w:t xml:space="preserve"> While the overall murder date has dropped in Mexico in the last 35 years, the murder rate of women has remained consistent.</w:t>
      </w:r>
      <w:r w:rsidRPr="00B205D7">
        <w:rPr>
          <w:rStyle w:val="FootnoteReference"/>
          <w:rFonts w:eastAsia="Times New Roman"/>
        </w:rPr>
        <w:footnoteReference w:id="36"/>
      </w:r>
      <w:r w:rsidRPr="00B205D7">
        <w:rPr>
          <w:rFonts w:eastAsia="Times New Roman"/>
        </w:rPr>
        <w:t xml:space="preserve"> </w:t>
      </w:r>
    </w:p>
    <w:p w:rsidRPr="00B205D7" w:rsidR="003123D6" w:rsidP="003123D6" w:rsidRDefault="003123D6" w14:paraId="3A0F964B" w14:textId="77777777">
      <w:pPr>
        <w:spacing w:line="480" w:lineRule="auto"/>
        <w:ind w:firstLine="720"/>
        <w:rPr>
          <w:rFonts w:eastAsia="Times New Roman"/>
        </w:rPr>
      </w:pPr>
      <w:r w:rsidRPr="00B205D7">
        <w:rPr>
          <w:rFonts w:eastAsia="Times New Roman"/>
        </w:rPr>
        <w:t>Women in Mexico do not have an adequate means to fight gender-based violence. According to a report by the Mexican Commission for the Defense and Promotion of Human Rights (MCDPH), “victims are battered and discriminated against when trying to access the justice system.”</w:t>
      </w:r>
      <w:r w:rsidRPr="00B205D7">
        <w:rPr>
          <w:rStyle w:val="FootnoteReference"/>
          <w:rFonts w:eastAsia="Times New Roman"/>
        </w:rPr>
        <w:footnoteReference w:id="37"/>
      </w:r>
      <w:r w:rsidRPr="00B205D7">
        <w:rPr>
          <w:rFonts w:eastAsia="Times New Roman"/>
        </w:rPr>
        <w:t xml:space="preserve"> A majority of these cases are not investigated as there is a “systematic pattern of impunity” in Mexico.</w:t>
      </w:r>
      <w:r w:rsidRPr="00B205D7">
        <w:rPr>
          <w:rStyle w:val="FootnoteReference"/>
          <w:rFonts w:eastAsia="Times New Roman"/>
        </w:rPr>
        <w:footnoteReference w:id="38"/>
      </w:r>
      <w:r w:rsidRPr="00B205D7">
        <w:rPr>
          <w:rFonts w:eastAsia="Times New Roman"/>
        </w:rPr>
        <w:t xml:space="preserve"> Carlos </w:t>
      </w:r>
      <w:proofErr w:type="spellStart"/>
      <w:r w:rsidRPr="00B205D7">
        <w:rPr>
          <w:rFonts w:eastAsia="Times New Roman"/>
        </w:rPr>
        <w:t>Echarri</w:t>
      </w:r>
      <w:proofErr w:type="spellEnd"/>
      <w:r w:rsidRPr="00B205D7">
        <w:rPr>
          <w:rFonts w:eastAsia="Times New Roman"/>
        </w:rPr>
        <w:t xml:space="preserve">, a professor at the </w:t>
      </w:r>
      <w:proofErr w:type="spellStart"/>
      <w:r w:rsidRPr="00B205D7">
        <w:rPr>
          <w:rFonts w:eastAsia="Times New Roman"/>
        </w:rPr>
        <w:t>Colegio</w:t>
      </w:r>
      <w:proofErr w:type="spellEnd"/>
      <w:r w:rsidRPr="00B205D7">
        <w:rPr>
          <w:rFonts w:eastAsia="Times New Roman"/>
        </w:rPr>
        <w:t xml:space="preserve"> de Mexico in Mexico City, says part of the problem is the country’s lack of statistical culture. He says that police officials are “not required to collect essential categories of information” which is essential in investigating, prosecuting and preventing sexualized violence against women.</w:t>
      </w:r>
      <w:r w:rsidRPr="00B205D7">
        <w:rPr>
          <w:rStyle w:val="FootnoteReference"/>
          <w:rFonts w:eastAsia="Times New Roman"/>
        </w:rPr>
        <w:footnoteReference w:id="39"/>
      </w:r>
      <w:r w:rsidRPr="00B205D7">
        <w:rPr>
          <w:rFonts w:eastAsia="Times New Roman"/>
        </w:rPr>
        <w:t xml:space="preserve"> A large majority of cases often go without a formal investigation, both at the federal and state levels.</w:t>
      </w:r>
      <w:r w:rsidRPr="00B205D7">
        <w:rPr>
          <w:rStyle w:val="FootnoteReference"/>
          <w:rFonts w:eastAsia="Times New Roman"/>
        </w:rPr>
        <w:footnoteReference w:id="40"/>
      </w:r>
    </w:p>
    <w:p w:rsidRPr="00B205D7" w:rsidR="003123D6" w:rsidP="003123D6" w:rsidRDefault="003123D6" w14:paraId="0305879A" w14:textId="77777777">
      <w:pPr>
        <w:spacing w:line="480" w:lineRule="auto"/>
        <w:ind w:firstLine="720"/>
        <w:rPr>
          <w:rFonts w:eastAsia="Times New Roman"/>
        </w:rPr>
      </w:pPr>
      <w:r w:rsidRPr="00B205D7">
        <w:rPr>
          <w:rFonts w:eastAsia="Times New Roman"/>
        </w:rPr>
        <w:t>Another factor for both the gender-based violence and the complicity within Mexico of that violence is the masculine culture that has hardened gender norms.</w:t>
      </w:r>
      <w:r w:rsidRPr="00B205D7">
        <w:rPr>
          <w:rStyle w:val="FootnoteReference"/>
          <w:rFonts w:eastAsia="Times New Roman"/>
        </w:rPr>
        <w:footnoteReference w:id="41"/>
      </w:r>
      <w:r w:rsidRPr="00B205D7">
        <w:rPr>
          <w:rFonts w:eastAsia="Times New Roman"/>
        </w:rPr>
        <w:t xml:space="preserve"> According to the Women’s Media Center, women do not have the same rights as men in sexualized matters. Therefore, “when a woman does gather enough courage to report an incident to the authorities, </w:t>
      </w:r>
      <w:r w:rsidRPr="00B205D7">
        <w:rPr>
          <w:rFonts w:eastAsia="Times New Roman"/>
        </w:rPr>
        <w:lastRenderedPageBreak/>
        <w:t>she will often encounter emotional violence at the hands of officials who encourage her to forgive her partner and go home.”</w:t>
      </w:r>
      <w:r w:rsidRPr="00B205D7">
        <w:rPr>
          <w:rStyle w:val="FootnoteReference"/>
          <w:rFonts w:eastAsia="Times New Roman"/>
        </w:rPr>
        <w:footnoteReference w:id="42"/>
      </w:r>
    </w:p>
    <w:p w:rsidRPr="00B205D7" w:rsidR="003123D6" w:rsidP="003123D6" w:rsidRDefault="003123D6" w14:paraId="062FD5F2" w14:textId="22F725EF">
      <w:pPr>
        <w:spacing w:line="480" w:lineRule="auto"/>
        <w:ind w:firstLine="720"/>
        <w:rPr>
          <w:rFonts w:eastAsia="Times New Roman"/>
        </w:rPr>
      </w:pPr>
      <w:r w:rsidRPr="00B205D7">
        <w:rPr>
          <w:rFonts w:eastAsia="Times New Roman"/>
        </w:rPr>
        <w:t xml:space="preserve">While there have been efforts to address </w:t>
      </w:r>
      <w:proofErr w:type="spellStart"/>
      <w:r w:rsidRPr="00B205D7">
        <w:rPr>
          <w:rFonts w:eastAsia="Times New Roman"/>
        </w:rPr>
        <w:t>femicide</w:t>
      </w:r>
      <w:proofErr w:type="spellEnd"/>
      <w:r w:rsidRPr="00B205D7">
        <w:rPr>
          <w:rFonts w:eastAsia="Times New Roman"/>
        </w:rPr>
        <w:t xml:space="preserve"> in Mexico, reports indicate the government has been largely ineffective at solving the problem. The General Law of Access for Women to a Life Free of Violence (GLAWLFW), which sought to address the alarming situation of violence against women, was established in 2007.</w:t>
      </w:r>
      <w:r w:rsidRPr="00B205D7">
        <w:rPr>
          <w:rStyle w:val="FootnoteReference"/>
          <w:rFonts w:eastAsia="Times New Roman"/>
        </w:rPr>
        <w:footnoteReference w:id="43"/>
      </w:r>
      <w:r w:rsidRPr="00B205D7">
        <w:rPr>
          <w:rFonts w:eastAsia="Times New Roman"/>
        </w:rPr>
        <w:t xml:space="preserve"> The law defines </w:t>
      </w:r>
      <w:proofErr w:type="spellStart"/>
      <w:r w:rsidRPr="00B205D7">
        <w:rPr>
          <w:rFonts w:eastAsia="Times New Roman"/>
        </w:rPr>
        <w:t>femicide</w:t>
      </w:r>
      <w:proofErr w:type="spellEnd"/>
      <w:r w:rsidRPr="00B205D7">
        <w:rPr>
          <w:rFonts w:eastAsia="Times New Roman"/>
        </w:rPr>
        <w:t xml:space="preserve"> as violent murders due to misogamy and discrimination against women.</w:t>
      </w:r>
      <w:r w:rsidRPr="00B205D7">
        <w:rPr>
          <w:rStyle w:val="FootnoteReference"/>
          <w:rFonts w:eastAsia="Times New Roman"/>
        </w:rPr>
        <w:footnoteReference w:id="44"/>
      </w:r>
      <w:r w:rsidRPr="00B205D7">
        <w:rPr>
          <w:rFonts w:eastAsia="Times New Roman"/>
        </w:rPr>
        <w:t xml:space="preserve"> However, the MCDPH report states that “its implementation and the protective mechanisms enshrined on it are not guaranteeing the protection of the life and integrity of women in Mexico.”</w:t>
      </w:r>
      <w:r w:rsidRPr="00B205D7">
        <w:rPr>
          <w:rStyle w:val="FootnoteReference"/>
          <w:rFonts w:eastAsia="Times New Roman"/>
        </w:rPr>
        <w:footnoteReference w:id="45"/>
      </w:r>
      <w:r w:rsidRPr="00B205D7">
        <w:rPr>
          <w:rFonts w:eastAsia="Times New Roman"/>
        </w:rPr>
        <w:t xml:space="preserve"> Indeed, </w:t>
      </w:r>
      <w:proofErr w:type="spellStart"/>
      <w:r w:rsidRPr="00B205D7">
        <w:rPr>
          <w:rFonts w:eastAsia="Times New Roman"/>
        </w:rPr>
        <w:t>femicide</w:t>
      </w:r>
      <w:proofErr w:type="spellEnd"/>
      <w:r w:rsidRPr="00B205D7">
        <w:rPr>
          <w:rFonts w:eastAsia="Times New Roman"/>
        </w:rPr>
        <w:t xml:space="preserve"> rates in Mexico actually increased years after the law.</w:t>
      </w:r>
      <w:r w:rsidRPr="00B205D7">
        <w:rPr>
          <w:rStyle w:val="FootnoteReference"/>
          <w:rFonts w:eastAsia="Times New Roman"/>
        </w:rPr>
        <w:footnoteReference w:id="46"/>
      </w:r>
      <w:r w:rsidRPr="00B205D7">
        <w:rPr>
          <w:rFonts w:eastAsia="Times New Roman"/>
        </w:rPr>
        <w:t xml:space="preserve"> Despite this increase, Mexico has made minimal further attempts to prevent perpetration of such violent crimes.</w:t>
      </w:r>
      <w:r w:rsidRPr="00B205D7">
        <w:rPr>
          <w:rStyle w:val="FootnoteReference"/>
          <w:rFonts w:eastAsia="Times New Roman"/>
        </w:rPr>
        <w:footnoteReference w:id="47"/>
      </w:r>
      <w:r w:rsidRPr="00B205D7">
        <w:rPr>
          <w:rFonts w:eastAsia="Times New Roman"/>
        </w:rPr>
        <w:t xml:space="preserve"> Furthermore, when a report to Congress listing several issues, including </w:t>
      </w:r>
      <w:proofErr w:type="spellStart"/>
      <w:r w:rsidRPr="00B205D7">
        <w:rPr>
          <w:rFonts w:eastAsia="Times New Roman"/>
        </w:rPr>
        <w:t>femicide</w:t>
      </w:r>
      <w:proofErr w:type="spellEnd"/>
      <w:r w:rsidRPr="00B205D7">
        <w:rPr>
          <w:rFonts w:eastAsia="Times New Roman"/>
        </w:rPr>
        <w:t>, was presented, the Committee did not account for the law’s failure to ensure the protection of women against violence committed due to their gender.</w:t>
      </w:r>
      <w:r w:rsidRPr="00B205D7">
        <w:rPr>
          <w:rStyle w:val="FootnoteReference"/>
          <w:rFonts w:eastAsia="Times New Roman"/>
        </w:rPr>
        <w:footnoteReference w:id="48"/>
      </w:r>
    </w:p>
    <w:p w:rsidRPr="00B205D7" w:rsidR="003123D6" w:rsidP="00BC74DB" w:rsidRDefault="003123D6" w14:paraId="742F64D4" w14:textId="4C59596F">
      <w:pPr>
        <w:tabs>
          <w:tab w:val="left" w:pos="720"/>
        </w:tabs>
        <w:spacing w:line="480" w:lineRule="auto"/>
        <w:rPr>
          <w:rFonts w:eastAsia="Times New Roman"/>
        </w:rPr>
      </w:pPr>
      <w:bookmarkStart w:name="OLE_LINK8" w:id="8"/>
      <w:r w:rsidRPr="00B205D7">
        <w:rPr>
          <w:rFonts w:eastAsia="Times New Roman"/>
        </w:rPr>
        <w:tab/>
      </w:r>
      <w:r w:rsidRPr="00B205D7">
        <w:rPr>
          <w:rFonts w:eastAsia="Times New Roman"/>
        </w:rPr>
        <w:t xml:space="preserve">GLAWLFW establishes a duty to guarantee the security and integrity of victims through the issuance of protection orders, which are precautionary and protective measures based on the assumption that the </w:t>
      </w:r>
      <w:r w:rsidRPr="00B205D7" w:rsidR="00D24360">
        <w:rPr>
          <w:rFonts w:eastAsia="Times New Roman"/>
        </w:rPr>
        <w:t xml:space="preserve">female </w:t>
      </w:r>
      <w:r w:rsidRPr="00B205D7">
        <w:rPr>
          <w:rFonts w:eastAsia="Times New Roman"/>
        </w:rPr>
        <w:t>complainant is in danger of suffering immediate harm.</w:t>
      </w:r>
      <w:r w:rsidRPr="00B205D7">
        <w:rPr>
          <w:rStyle w:val="FootnoteReference"/>
          <w:rFonts w:eastAsia="Times New Roman"/>
        </w:rPr>
        <w:footnoteReference w:id="49"/>
      </w:r>
      <w:r w:rsidRPr="00B205D7">
        <w:rPr>
          <w:rFonts w:eastAsia="Times New Roman"/>
        </w:rPr>
        <w:t xml:space="preserve"> However, according to the report, Puebla, a state that has amongst the highest rates of violence towards </w:t>
      </w:r>
      <w:r w:rsidRPr="00B205D7">
        <w:rPr>
          <w:rFonts w:eastAsia="Times New Roman"/>
        </w:rPr>
        <w:lastRenderedPageBreak/>
        <w:t xml:space="preserve">women in Mexico, did not provide any protection orders two years after the local legislation was harmonized with the GLAWLFW. </w:t>
      </w:r>
      <w:r w:rsidRPr="00B205D7">
        <w:rPr>
          <w:rStyle w:val="FootnoteReference"/>
          <w:rFonts w:eastAsia="Times New Roman"/>
        </w:rPr>
        <w:footnoteReference w:id="50"/>
      </w:r>
    </w:p>
    <w:p w:rsidRPr="00B205D7" w:rsidR="00315A08" w:rsidP="00BC74DB" w:rsidRDefault="003123D6" w14:paraId="25A0C392" w14:textId="3037DD7D">
      <w:pPr>
        <w:tabs>
          <w:tab w:val="left" w:pos="720"/>
        </w:tabs>
        <w:spacing w:line="480" w:lineRule="auto"/>
        <w:rPr>
          <w:rFonts w:eastAsia="Times New Roman"/>
        </w:rPr>
      </w:pPr>
      <w:r w:rsidRPr="00B205D7">
        <w:rPr>
          <w:rFonts w:eastAsia="Times New Roman"/>
        </w:rPr>
        <w:tab/>
      </w:r>
      <w:r w:rsidRPr="00B205D7">
        <w:rPr>
          <w:rFonts w:eastAsia="Times New Roman"/>
        </w:rPr>
        <w:t>Additionally, another GLAWLFW mechanism known as the Declaration of Gender Violence has been ineffective.</w:t>
      </w:r>
      <w:r w:rsidRPr="00B205D7">
        <w:rPr>
          <w:rStyle w:val="FootnoteReference"/>
          <w:rFonts w:eastAsia="Times New Roman"/>
        </w:rPr>
        <w:footnoteReference w:id="51"/>
      </w:r>
      <w:r w:rsidRPr="00B205D7">
        <w:rPr>
          <w:rFonts w:eastAsia="Times New Roman"/>
        </w:rPr>
        <w:t xml:space="preserve"> The Declaration of Gender Violence is a set of emergency government actions aimed at addressing and eradicating </w:t>
      </w:r>
      <w:proofErr w:type="spellStart"/>
      <w:r w:rsidRPr="00B205D7">
        <w:rPr>
          <w:rFonts w:eastAsia="Times New Roman"/>
        </w:rPr>
        <w:t>femicides</w:t>
      </w:r>
      <w:proofErr w:type="spellEnd"/>
      <w:r w:rsidRPr="00B205D7">
        <w:rPr>
          <w:rFonts w:eastAsia="Times New Roman"/>
        </w:rPr>
        <w:t xml:space="preserve"> in a given territory, whether exercised by individuals or by the community.</w:t>
      </w:r>
      <w:r w:rsidRPr="00B205D7">
        <w:rPr>
          <w:rStyle w:val="FootnoteReference"/>
          <w:rFonts w:eastAsia="Times New Roman"/>
        </w:rPr>
        <w:footnoteReference w:id="52"/>
      </w:r>
      <w:r w:rsidRPr="00B205D7">
        <w:rPr>
          <w:rFonts w:eastAsia="Times New Roman"/>
        </w:rPr>
        <w:t xml:space="preserve"> The report states that the mechanism is not working because of a lack of political will to ensure protection of victims of gender violence.</w:t>
      </w:r>
      <w:r w:rsidRPr="00B205D7">
        <w:rPr>
          <w:rStyle w:val="FootnoteReference"/>
          <w:rFonts w:eastAsia="Times New Roman"/>
        </w:rPr>
        <w:footnoteReference w:id="53"/>
      </w:r>
      <w:r w:rsidRPr="00B205D7">
        <w:rPr>
          <w:rFonts w:eastAsia="Times New Roman"/>
        </w:rPr>
        <w:t xml:space="preserve"> Authorities prefer to hide the problems “instead of taking effective and coordinated actions for its eradication.”</w:t>
      </w:r>
      <w:r w:rsidRPr="00B205D7">
        <w:rPr>
          <w:rStyle w:val="FootnoteReference"/>
          <w:rFonts w:eastAsia="Times New Roman"/>
        </w:rPr>
        <w:footnoteReference w:id="54"/>
      </w:r>
    </w:p>
    <w:p w:rsidRPr="00B205D7" w:rsidR="00927022" w:rsidP="00810679" w:rsidRDefault="00917868" w14:paraId="4F3E4278" w14:textId="67C47F2A">
      <w:pPr>
        <w:pStyle w:val="ListParagraph"/>
        <w:numPr>
          <w:ilvl w:val="0"/>
          <w:numId w:val="7"/>
        </w:numPr>
        <w:rPr>
          <w:rFonts w:eastAsia="Times New Roman"/>
          <w:b/>
          <w:sz w:val="24"/>
          <w:szCs w:val="24"/>
          <w:u w:val="single"/>
        </w:rPr>
      </w:pPr>
      <w:r w:rsidRPr="00B205D7">
        <w:rPr>
          <w:b/>
          <w:sz w:val="24"/>
          <w:szCs w:val="24"/>
        </w:rPr>
        <w:t>PROCEDURAL HISTORY</w:t>
      </w:r>
    </w:p>
    <w:bookmarkEnd w:id="8"/>
    <w:p w:rsidRPr="00B205D7" w:rsidR="003123D6" w:rsidP="00810679" w:rsidRDefault="003123D6" w14:paraId="5B5E0225" w14:textId="77777777">
      <w:pPr>
        <w:pStyle w:val="ListParagraph"/>
        <w:ind w:left="1080"/>
        <w:rPr>
          <w:rFonts w:eastAsia="Times New Roman"/>
          <w:sz w:val="24"/>
          <w:szCs w:val="24"/>
          <w:u w:val="single"/>
        </w:rPr>
      </w:pPr>
    </w:p>
    <w:p w:rsidRPr="00B205D7" w:rsidR="003123D6" w:rsidP="00BC74DB" w:rsidRDefault="003123D6" w14:paraId="4085395B" w14:textId="714052BA">
      <w:pPr>
        <w:tabs>
          <w:tab w:val="left" w:pos="720"/>
        </w:tabs>
        <w:spacing w:line="480" w:lineRule="auto"/>
        <w:rPr>
          <w:rFonts w:eastAsia="Times New Roman"/>
        </w:rPr>
      </w:pPr>
      <w:r w:rsidRPr="00B205D7">
        <w:rPr>
          <w:rFonts w:eastAsia="Times New Roman"/>
          <w:b/>
        </w:rPr>
        <w:tab/>
      </w:r>
      <w:r w:rsidRPr="00B205D7">
        <w:t xml:space="preserve">On September 17, 2018, </w:t>
      </w:r>
      <w:r w:rsidR="00706EEB">
        <w:t>A-</w:t>
      </w:r>
      <w:r w:rsidRPr="00B205D7">
        <w:t xml:space="preserve"> filed an I-589 application </w:t>
      </w:r>
      <w:r w:rsidRPr="00B205D7" w:rsidR="00C83ED0">
        <w:t>with</w:t>
      </w:r>
      <w:r w:rsidRPr="00B205D7">
        <w:t xml:space="preserve"> Judge </w:t>
      </w:r>
      <w:proofErr w:type="spellStart"/>
      <w:r w:rsidRPr="00B205D7">
        <w:t>Mirlande</w:t>
      </w:r>
      <w:proofErr w:type="spellEnd"/>
      <w:r w:rsidRPr="00B205D7">
        <w:t xml:space="preserve"> </w:t>
      </w:r>
      <w:proofErr w:type="spellStart"/>
      <w:r w:rsidRPr="00B205D7">
        <w:t>Tadal</w:t>
      </w:r>
      <w:proofErr w:type="spellEnd"/>
      <w:r w:rsidRPr="00B205D7">
        <w:t xml:space="preserve"> in a </w:t>
      </w:r>
      <w:r w:rsidRPr="00B205D7" w:rsidR="0009593D">
        <w:t>“</w:t>
      </w:r>
      <w:r w:rsidRPr="00B205D7">
        <w:t>withholding only</w:t>
      </w:r>
      <w:r w:rsidRPr="00B205D7" w:rsidR="0009593D">
        <w:t>”</w:t>
      </w:r>
      <w:r w:rsidRPr="00B205D7">
        <w:t xml:space="preserve"> proceeding.</w:t>
      </w:r>
      <w:r w:rsidRPr="00B205D7">
        <w:rPr>
          <w:rStyle w:val="FootnoteReference"/>
        </w:rPr>
        <w:footnoteReference w:id="55"/>
      </w:r>
      <w:r w:rsidRPr="00B205D7">
        <w:t xml:space="preserve"> </w:t>
      </w:r>
      <w:r w:rsidRPr="00B205D7" w:rsidR="00C167C4">
        <w:t xml:space="preserve">On </w:t>
      </w:r>
      <w:r w:rsidRPr="00B205D7">
        <w:rPr>
          <w:rFonts w:eastAsia="Times New Roman"/>
        </w:rPr>
        <w:t xml:space="preserve">October 22, 2018, a few months after the Attorney General handed down </w:t>
      </w:r>
      <w:r w:rsidRPr="00B205D7">
        <w:rPr>
          <w:rFonts w:eastAsia="Times New Roman"/>
          <w:i/>
        </w:rPr>
        <w:t>Matter of A</w:t>
      </w:r>
      <w:r w:rsidRPr="00B205D7">
        <w:rPr>
          <w:rFonts w:eastAsia="Times New Roman"/>
          <w:i/>
        </w:rPr>
        <w:noBreakHyphen/>
        <w:t>B</w:t>
      </w:r>
      <w:r w:rsidRPr="00B205D7">
        <w:rPr>
          <w:rFonts w:eastAsia="Times New Roman"/>
          <w:i/>
        </w:rPr>
        <w:noBreakHyphen/>
      </w:r>
      <w:r w:rsidRPr="00B205D7">
        <w:rPr>
          <w:rFonts w:eastAsia="Times New Roman"/>
        </w:rPr>
        <w:t xml:space="preserve">, </w:t>
      </w:r>
      <w:r w:rsidR="00706EEB">
        <w:rPr>
          <w:rFonts w:eastAsia="Times New Roman"/>
        </w:rPr>
        <w:t>A-</w:t>
      </w:r>
      <w:r w:rsidRPr="00B205D7">
        <w:rPr>
          <w:rFonts w:eastAsia="Times New Roman"/>
        </w:rPr>
        <w:t xml:space="preserve"> appeared before Judge Nelson A. Vargas Padilla for a merit</w:t>
      </w:r>
      <w:r w:rsidRPr="00B205D7" w:rsidR="0009593D">
        <w:rPr>
          <w:rFonts w:eastAsia="Times New Roman"/>
        </w:rPr>
        <w:t>s</w:t>
      </w:r>
      <w:r w:rsidRPr="00B205D7">
        <w:rPr>
          <w:rFonts w:eastAsia="Times New Roman"/>
        </w:rPr>
        <w:t xml:space="preserve"> hearing. While Judge Padilla found </w:t>
      </w:r>
      <w:r w:rsidR="00706EEB">
        <w:rPr>
          <w:rFonts w:eastAsia="Times New Roman"/>
        </w:rPr>
        <w:t>A-</w:t>
      </w:r>
      <w:r w:rsidRPr="00B205D7">
        <w:rPr>
          <w:rFonts w:eastAsia="Times New Roman"/>
        </w:rPr>
        <w:t xml:space="preserve"> to be credible, that the abuse she suffered was “vile,” and that the particular social group of “Independent Professional Working Women” was cognizable, he denied her application for Withholding of Removal and denied relief under Article 3 of the Convention Against Torture (CAT), stating that, “pursuant to the law as it stands at this current moment, victims of domestic violence around the world will be unable to avail themselves of relief under the Immigration &amp; Nationality Act in the United States.” </w:t>
      </w:r>
      <w:r w:rsidR="00706EEB">
        <w:rPr>
          <w:rFonts w:eastAsia="Times New Roman"/>
        </w:rPr>
        <w:t>A-</w:t>
      </w:r>
      <w:r w:rsidRPr="00B205D7">
        <w:rPr>
          <w:rFonts w:eastAsia="Times New Roman"/>
        </w:rPr>
        <w:t xml:space="preserve"> appeals Judge Padilla’s decision and submits this brief in support of her appeal.</w:t>
      </w:r>
    </w:p>
    <w:p w:rsidRPr="00B205D7" w:rsidR="00315A08" w:rsidP="0009593D" w:rsidRDefault="00815B70" w14:paraId="736A32F0" w14:textId="5830196C">
      <w:pPr>
        <w:spacing w:line="480" w:lineRule="auto"/>
        <w:ind w:left="360" w:hanging="360"/>
        <w:jc w:val="center"/>
        <w:outlineLvl w:val="0"/>
        <w:rPr>
          <w:b/>
          <w:u w:val="single"/>
        </w:rPr>
      </w:pPr>
      <w:r w:rsidRPr="00B205D7">
        <w:rPr>
          <w:b/>
          <w:u w:val="single"/>
        </w:rPr>
        <w:lastRenderedPageBreak/>
        <w:t>QUESTIONS PRESENTED</w:t>
      </w:r>
    </w:p>
    <w:p w:rsidRPr="00B205D7" w:rsidR="0093106F" w:rsidP="00837678" w:rsidRDefault="00815B70" w14:paraId="6DB17DF7" w14:textId="532C7E31">
      <w:pPr>
        <w:pStyle w:val="ListParagraph"/>
        <w:numPr>
          <w:ilvl w:val="0"/>
          <w:numId w:val="5"/>
        </w:numPr>
        <w:ind w:left="360"/>
        <w:outlineLvl w:val="0"/>
        <w:rPr>
          <w:sz w:val="24"/>
          <w:szCs w:val="24"/>
        </w:rPr>
      </w:pPr>
      <w:r w:rsidRPr="00B205D7">
        <w:rPr>
          <w:sz w:val="24"/>
          <w:szCs w:val="24"/>
        </w:rPr>
        <w:t>Did the</w:t>
      </w:r>
      <w:r w:rsidRPr="00B205D7" w:rsidR="0093106F">
        <w:rPr>
          <w:sz w:val="24"/>
          <w:szCs w:val="24"/>
        </w:rPr>
        <w:t xml:space="preserve"> immigration j</w:t>
      </w:r>
      <w:r w:rsidRPr="00B205D7">
        <w:rPr>
          <w:sz w:val="24"/>
          <w:szCs w:val="24"/>
        </w:rPr>
        <w:t>udge err in fail</w:t>
      </w:r>
      <w:r w:rsidRPr="00B205D7" w:rsidR="00C83ED0">
        <w:rPr>
          <w:sz w:val="24"/>
          <w:szCs w:val="24"/>
        </w:rPr>
        <w:t>ing</w:t>
      </w:r>
      <w:r w:rsidRPr="00B205D7">
        <w:rPr>
          <w:sz w:val="24"/>
          <w:szCs w:val="24"/>
        </w:rPr>
        <w:t xml:space="preserve"> to address entirely Ms. </w:t>
      </w:r>
      <w:r w:rsidR="00706EEB">
        <w:rPr>
          <w:sz w:val="24"/>
          <w:szCs w:val="24"/>
        </w:rPr>
        <w:t>C-T-</w:t>
      </w:r>
      <w:r w:rsidRPr="00B205D7">
        <w:rPr>
          <w:sz w:val="24"/>
          <w:szCs w:val="24"/>
        </w:rPr>
        <w:t>’s political opinion claim?</w:t>
      </w:r>
    </w:p>
    <w:p w:rsidRPr="00B205D7" w:rsidR="0009593D" w:rsidP="00837678" w:rsidRDefault="0009593D" w14:paraId="3199CE49" w14:textId="77777777">
      <w:pPr>
        <w:pStyle w:val="ListParagraph"/>
        <w:ind w:left="360"/>
        <w:outlineLvl w:val="0"/>
        <w:rPr>
          <w:sz w:val="24"/>
          <w:szCs w:val="24"/>
        </w:rPr>
      </w:pPr>
    </w:p>
    <w:p w:rsidRPr="00B205D7" w:rsidR="0093106F" w:rsidP="00837678" w:rsidRDefault="00A72C82" w14:paraId="04C0B483" w14:textId="339A1867">
      <w:pPr>
        <w:pStyle w:val="ListParagraph"/>
        <w:numPr>
          <w:ilvl w:val="0"/>
          <w:numId w:val="5"/>
        </w:numPr>
        <w:ind w:left="360"/>
        <w:outlineLvl w:val="0"/>
        <w:rPr>
          <w:sz w:val="24"/>
          <w:szCs w:val="24"/>
        </w:rPr>
      </w:pPr>
      <w:r w:rsidRPr="00B205D7">
        <w:rPr>
          <w:sz w:val="24"/>
          <w:szCs w:val="24"/>
        </w:rPr>
        <w:t xml:space="preserve">Was Ms. </w:t>
      </w:r>
      <w:r w:rsidR="00706EEB">
        <w:rPr>
          <w:sz w:val="24"/>
          <w:szCs w:val="24"/>
        </w:rPr>
        <w:t>C-T-</w:t>
      </w:r>
      <w:r w:rsidRPr="00B205D7">
        <w:rPr>
          <w:sz w:val="24"/>
          <w:szCs w:val="24"/>
        </w:rPr>
        <w:t xml:space="preserve"> persecuted based on her </w:t>
      </w:r>
      <w:r w:rsidRPr="00B205D7" w:rsidR="00C83ED0">
        <w:rPr>
          <w:sz w:val="24"/>
          <w:szCs w:val="24"/>
        </w:rPr>
        <w:t xml:space="preserve">actual or </w:t>
      </w:r>
      <w:r w:rsidRPr="00B205D7">
        <w:rPr>
          <w:sz w:val="24"/>
          <w:szCs w:val="24"/>
        </w:rPr>
        <w:t xml:space="preserve">imputed political opinion, when the </w:t>
      </w:r>
      <w:r w:rsidRPr="00B205D7" w:rsidR="0093106F">
        <w:rPr>
          <w:sz w:val="24"/>
          <w:szCs w:val="24"/>
        </w:rPr>
        <w:t xml:space="preserve">evidence shows that her persecutor attributed to Ms. </w:t>
      </w:r>
      <w:r w:rsidR="00706EEB">
        <w:rPr>
          <w:sz w:val="24"/>
          <w:szCs w:val="24"/>
        </w:rPr>
        <w:t>C-T-</w:t>
      </w:r>
      <w:r w:rsidRPr="00B205D7" w:rsidR="0093106F">
        <w:rPr>
          <w:sz w:val="24"/>
          <w:szCs w:val="24"/>
        </w:rPr>
        <w:t xml:space="preserve"> </w:t>
      </w:r>
      <w:r w:rsidRPr="00B205D7" w:rsidR="00C83ED0">
        <w:rPr>
          <w:sz w:val="24"/>
          <w:szCs w:val="24"/>
        </w:rPr>
        <w:t xml:space="preserve">the opinion that women could be </w:t>
      </w:r>
      <w:r w:rsidRPr="00B205D7" w:rsidR="0093106F">
        <w:rPr>
          <w:sz w:val="24"/>
          <w:szCs w:val="24"/>
        </w:rPr>
        <w:t>independen</w:t>
      </w:r>
      <w:r w:rsidRPr="00B205D7" w:rsidR="00C83ED0">
        <w:rPr>
          <w:sz w:val="24"/>
          <w:szCs w:val="24"/>
        </w:rPr>
        <w:t>t</w:t>
      </w:r>
      <w:r w:rsidRPr="00B205D7" w:rsidR="0093106F">
        <w:rPr>
          <w:sz w:val="24"/>
          <w:szCs w:val="24"/>
        </w:rPr>
        <w:t xml:space="preserve"> and abused her based on that </w:t>
      </w:r>
      <w:r w:rsidRPr="00B205D7" w:rsidR="00C83ED0">
        <w:rPr>
          <w:sz w:val="24"/>
          <w:szCs w:val="24"/>
        </w:rPr>
        <w:t>opinion</w:t>
      </w:r>
      <w:r w:rsidRPr="00B205D7" w:rsidR="0093106F">
        <w:rPr>
          <w:sz w:val="24"/>
          <w:szCs w:val="24"/>
        </w:rPr>
        <w:t>?</w:t>
      </w:r>
    </w:p>
    <w:p w:rsidRPr="00B205D7" w:rsidR="0009593D" w:rsidP="00837678" w:rsidRDefault="0009593D" w14:paraId="7CCAA25C" w14:textId="07096C4F">
      <w:pPr>
        <w:outlineLvl w:val="0"/>
      </w:pPr>
    </w:p>
    <w:p w:rsidRPr="00B205D7" w:rsidR="0093106F" w:rsidP="00837678" w:rsidRDefault="0093106F" w14:paraId="484B9AFC" w14:textId="55C2DFD7">
      <w:pPr>
        <w:pStyle w:val="ListParagraph"/>
        <w:numPr>
          <w:ilvl w:val="0"/>
          <w:numId w:val="5"/>
        </w:numPr>
        <w:ind w:left="360"/>
        <w:outlineLvl w:val="0"/>
        <w:rPr>
          <w:sz w:val="24"/>
          <w:szCs w:val="24"/>
        </w:rPr>
      </w:pPr>
      <w:r w:rsidRPr="00B205D7">
        <w:rPr>
          <w:sz w:val="24"/>
          <w:szCs w:val="24"/>
        </w:rPr>
        <w:t xml:space="preserve">Did the immigration judge err in denying Convention Against Torture relief, when </w:t>
      </w:r>
      <w:r w:rsidRPr="00B205D7" w:rsidR="00C83ED0">
        <w:rPr>
          <w:sz w:val="24"/>
          <w:szCs w:val="24"/>
        </w:rPr>
        <w:t xml:space="preserve">her government employer did nothing to stop the abuse and instead fired her, and when </w:t>
      </w:r>
      <w:r w:rsidRPr="00B205D7">
        <w:rPr>
          <w:sz w:val="24"/>
          <w:szCs w:val="24"/>
        </w:rPr>
        <w:t xml:space="preserve">it is more likely than not that Ms. </w:t>
      </w:r>
      <w:r w:rsidR="00706EEB">
        <w:rPr>
          <w:sz w:val="24"/>
          <w:szCs w:val="24"/>
        </w:rPr>
        <w:t>C-T-</w:t>
      </w:r>
      <w:r w:rsidRPr="00B205D7">
        <w:rPr>
          <w:sz w:val="24"/>
          <w:szCs w:val="24"/>
        </w:rPr>
        <w:t xml:space="preserve"> </w:t>
      </w:r>
      <w:r w:rsidRPr="00B205D7" w:rsidR="00F45771">
        <w:rPr>
          <w:sz w:val="24"/>
          <w:szCs w:val="24"/>
        </w:rPr>
        <w:t>will be further abused by her persecutor</w:t>
      </w:r>
      <w:r w:rsidRPr="00B205D7">
        <w:rPr>
          <w:sz w:val="24"/>
          <w:szCs w:val="24"/>
        </w:rPr>
        <w:t xml:space="preserve"> and the government will acquiesce to that abuse?</w:t>
      </w:r>
    </w:p>
    <w:p w:rsidRPr="00B205D7" w:rsidR="0009593D" w:rsidP="00837678" w:rsidRDefault="0009593D" w14:paraId="592814B4" w14:textId="207A24F9">
      <w:pPr>
        <w:outlineLvl w:val="0"/>
      </w:pPr>
    </w:p>
    <w:p w:rsidRPr="00B205D7" w:rsidR="002C1683" w:rsidP="00867438" w:rsidRDefault="00C83ED0" w14:paraId="638201DA" w14:textId="4069DD35">
      <w:pPr>
        <w:pStyle w:val="ListParagraph"/>
        <w:numPr>
          <w:ilvl w:val="0"/>
          <w:numId w:val="5"/>
        </w:numPr>
        <w:ind w:left="360"/>
        <w:outlineLvl w:val="0"/>
        <w:rPr>
          <w:sz w:val="24"/>
          <w:szCs w:val="24"/>
        </w:rPr>
      </w:pPr>
      <w:r w:rsidRPr="00B205D7">
        <w:rPr>
          <w:sz w:val="24"/>
          <w:szCs w:val="24"/>
        </w:rPr>
        <w:t>D</w:t>
      </w:r>
      <w:r w:rsidRPr="00B205D7" w:rsidR="002C1683">
        <w:rPr>
          <w:sz w:val="24"/>
          <w:szCs w:val="24"/>
        </w:rPr>
        <w:t xml:space="preserve">id the immigration judge err in relying on </w:t>
      </w:r>
      <w:r w:rsidRPr="00B205D7" w:rsidR="002C1683">
        <w:rPr>
          <w:i/>
          <w:sz w:val="24"/>
          <w:szCs w:val="24"/>
        </w:rPr>
        <w:t>Matter of A-B-</w:t>
      </w:r>
      <w:r w:rsidRPr="00B205D7">
        <w:rPr>
          <w:i/>
          <w:sz w:val="24"/>
          <w:szCs w:val="24"/>
        </w:rPr>
        <w:t xml:space="preserve"> </w:t>
      </w:r>
      <w:r w:rsidRPr="00B205D7">
        <w:rPr>
          <w:sz w:val="24"/>
          <w:szCs w:val="24"/>
        </w:rPr>
        <w:t xml:space="preserve">in finding that Ms. </w:t>
      </w:r>
      <w:r w:rsidR="00706EEB">
        <w:rPr>
          <w:sz w:val="24"/>
          <w:szCs w:val="24"/>
        </w:rPr>
        <w:t>C-T-</w:t>
      </w:r>
      <w:r w:rsidRPr="00B205D7">
        <w:rPr>
          <w:sz w:val="24"/>
          <w:szCs w:val="24"/>
        </w:rPr>
        <w:t xml:space="preserve"> did not meet the nexus requirement for withholding of removal</w:t>
      </w:r>
      <w:r w:rsidRPr="00B205D7" w:rsidR="002C1683">
        <w:rPr>
          <w:sz w:val="24"/>
          <w:szCs w:val="24"/>
        </w:rPr>
        <w:t xml:space="preserve">, when the record clearly shows that Ms. </w:t>
      </w:r>
      <w:r w:rsidR="00706EEB">
        <w:rPr>
          <w:sz w:val="24"/>
          <w:szCs w:val="24"/>
        </w:rPr>
        <w:t>C-</w:t>
      </w:r>
      <w:r w:rsidRPr="00B205D7" w:rsidR="002C1683">
        <w:rPr>
          <w:sz w:val="24"/>
          <w:szCs w:val="24"/>
        </w:rPr>
        <w:t xml:space="preserve"> </w:t>
      </w:r>
      <w:r w:rsidR="00706EEB">
        <w:rPr>
          <w:sz w:val="24"/>
          <w:szCs w:val="24"/>
        </w:rPr>
        <w:t>T-</w:t>
      </w:r>
      <w:r w:rsidRPr="00B205D7" w:rsidR="002C1683">
        <w:rPr>
          <w:sz w:val="24"/>
          <w:szCs w:val="24"/>
        </w:rPr>
        <w:t>’s persecutor was aware of her membership in the particular social group, “</w:t>
      </w:r>
      <w:r w:rsidRPr="00B205D7">
        <w:rPr>
          <w:sz w:val="24"/>
          <w:szCs w:val="24"/>
        </w:rPr>
        <w:t>i</w:t>
      </w:r>
      <w:r w:rsidRPr="00B205D7" w:rsidR="002C1683">
        <w:rPr>
          <w:sz w:val="24"/>
          <w:szCs w:val="24"/>
        </w:rPr>
        <w:t>ndependent, working, professional women”</w:t>
      </w:r>
      <w:r w:rsidRPr="00B205D7">
        <w:rPr>
          <w:sz w:val="24"/>
          <w:szCs w:val="24"/>
        </w:rPr>
        <w:t xml:space="preserve"> and abused her on account of that membership?</w:t>
      </w:r>
    </w:p>
    <w:p w:rsidRPr="00B205D7" w:rsidR="00C9539C" w:rsidP="002C1683" w:rsidRDefault="00C9539C" w14:paraId="492C7447" w14:textId="77777777">
      <w:pPr>
        <w:outlineLvl w:val="0"/>
        <w:rPr>
          <w:b/>
          <w:u w:val="single"/>
        </w:rPr>
      </w:pPr>
    </w:p>
    <w:p w:rsidRPr="00B205D7" w:rsidR="00315A08" w:rsidP="00315A08" w:rsidRDefault="00315A08" w14:paraId="2F9E22F6" w14:textId="36836BF3">
      <w:pPr>
        <w:spacing w:line="480" w:lineRule="auto"/>
        <w:jc w:val="center"/>
        <w:outlineLvl w:val="0"/>
        <w:rPr>
          <w:b/>
          <w:u w:val="single"/>
        </w:rPr>
      </w:pPr>
      <w:r w:rsidRPr="00B205D7">
        <w:rPr>
          <w:b/>
          <w:u w:val="single"/>
        </w:rPr>
        <w:t xml:space="preserve">STANDARD </w:t>
      </w:r>
      <w:r w:rsidRPr="00B205D7" w:rsidR="0009593D">
        <w:rPr>
          <w:b/>
          <w:u w:val="single"/>
        </w:rPr>
        <w:t xml:space="preserve">OF </w:t>
      </w:r>
      <w:r w:rsidRPr="00B205D7">
        <w:rPr>
          <w:b/>
          <w:u w:val="single"/>
        </w:rPr>
        <w:t>REVIEW</w:t>
      </w:r>
    </w:p>
    <w:p w:rsidRPr="00B205D7" w:rsidR="003123D6" w:rsidP="00867438" w:rsidRDefault="00D20A24" w14:paraId="51F631D2" w14:textId="2315F867">
      <w:pPr>
        <w:spacing w:line="480" w:lineRule="auto"/>
        <w:ind w:firstLine="720"/>
        <w:rPr>
          <w:rFonts w:eastAsia="Times New Roman"/>
          <w:b/>
        </w:rPr>
      </w:pPr>
      <w:r w:rsidRPr="00B205D7">
        <w:t>The BIA reviews the IJ’s factual determinations, including credibility determinations, for clear error.</w:t>
      </w:r>
      <w:r w:rsidRPr="00B205D7">
        <w:rPr>
          <w:rStyle w:val="FootnoteReference"/>
        </w:rPr>
        <w:footnoteReference w:id="56"/>
      </w:r>
      <w:r w:rsidRPr="00B205D7">
        <w:t xml:space="preserve"> Questions of law and discretion are reviewed </w:t>
      </w:r>
      <w:r w:rsidRPr="00B205D7">
        <w:rPr>
          <w:i/>
        </w:rPr>
        <w:t>de novo</w:t>
      </w:r>
      <w:r w:rsidRPr="00B205D7">
        <w:t>.</w:t>
      </w:r>
      <w:r w:rsidRPr="00B205D7">
        <w:rPr>
          <w:rStyle w:val="FootnoteReference"/>
        </w:rPr>
        <w:footnoteReference w:id="57"/>
      </w:r>
      <w:r w:rsidRPr="00B205D7">
        <w:t xml:space="preserve"> The Board has noted that, “[</w:t>
      </w:r>
      <w:proofErr w:type="spellStart"/>
      <w:r w:rsidRPr="00B205D7">
        <w:t>i</w:t>
      </w:r>
      <w:proofErr w:type="spellEnd"/>
      <w:r w:rsidRPr="00B205D7">
        <w:t>]n determining whether established facts are sufficient to meet a legal standard . . . the Board is entitled to weigh the evidence in a manner different from that accorded by the Immigration Judge, or to conclude that the foundation for the Immigration Judge’s legal conclusions was insufficient or otherwise not supported by the evidence of record.”</w:t>
      </w:r>
      <w:r w:rsidRPr="00B205D7">
        <w:rPr>
          <w:rStyle w:val="FootnoteReference"/>
        </w:rPr>
        <w:footnoteReference w:id="58"/>
      </w:r>
    </w:p>
    <w:p w:rsidRPr="00B205D7" w:rsidR="003123D6" w:rsidP="003123D6" w:rsidRDefault="003123D6" w14:paraId="6CE2365A" w14:textId="77777777">
      <w:pPr>
        <w:spacing w:line="480" w:lineRule="auto"/>
        <w:jc w:val="center"/>
        <w:outlineLvl w:val="0"/>
        <w:rPr>
          <w:rFonts w:eastAsiaTheme="minorEastAsia"/>
          <w:b/>
          <w:u w:val="single"/>
        </w:rPr>
      </w:pPr>
      <w:r w:rsidRPr="00B205D7">
        <w:rPr>
          <w:b/>
          <w:u w:val="single"/>
        </w:rPr>
        <w:t>ARGUMENT</w:t>
      </w:r>
    </w:p>
    <w:p w:rsidRPr="00B205D7" w:rsidR="003123D6" w:rsidP="003123D6" w:rsidRDefault="003123D6" w14:paraId="3D4C1E92" w14:textId="2601EEA7">
      <w:pPr>
        <w:pStyle w:val="ListParagraph"/>
        <w:numPr>
          <w:ilvl w:val="0"/>
          <w:numId w:val="2"/>
        </w:numPr>
        <w:rPr>
          <w:rFonts w:eastAsia="Times New Roman"/>
          <w:b/>
          <w:sz w:val="24"/>
          <w:szCs w:val="24"/>
        </w:rPr>
      </w:pPr>
      <w:r w:rsidRPr="00B205D7">
        <w:rPr>
          <w:rFonts w:eastAsia="Times New Roman"/>
          <w:b/>
          <w:sz w:val="24"/>
          <w:szCs w:val="24"/>
        </w:rPr>
        <w:t xml:space="preserve">THE IMMIGRATION JUDGE ERRED IN FAILING TO ADDRESS ENTIRELY MS. </w:t>
      </w:r>
      <w:r w:rsidR="00706EEB">
        <w:rPr>
          <w:rFonts w:eastAsia="Times New Roman"/>
          <w:b/>
          <w:sz w:val="24"/>
          <w:szCs w:val="24"/>
        </w:rPr>
        <w:t>C-T-</w:t>
      </w:r>
      <w:r w:rsidRPr="00B205D7">
        <w:rPr>
          <w:rFonts w:eastAsia="Times New Roman"/>
          <w:b/>
          <w:sz w:val="24"/>
          <w:szCs w:val="24"/>
        </w:rPr>
        <w:t>’S POLITICAL OPINION CLAIM</w:t>
      </w:r>
    </w:p>
    <w:p w:rsidRPr="00B205D7" w:rsidR="003123D6" w:rsidP="003123D6" w:rsidRDefault="003123D6" w14:paraId="2C3D94E4" w14:textId="77777777">
      <w:pPr>
        <w:rPr>
          <w:rFonts w:eastAsia="Times New Roman"/>
          <w:b/>
        </w:rPr>
      </w:pPr>
    </w:p>
    <w:p w:rsidRPr="00B205D7" w:rsidR="00B500B8" w:rsidP="00CD2C07" w:rsidRDefault="00CD2C07" w14:paraId="2964A989" w14:textId="52481621">
      <w:pPr>
        <w:pStyle w:val="ListParagraph"/>
        <w:numPr>
          <w:ilvl w:val="0"/>
          <w:numId w:val="24"/>
        </w:numPr>
        <w:rPr>
          <w:rFonts w:eastAsia="Times New Roman"/>
          <w:sz w:val="24"/>
          <w:szCs w:val="24"/>
          <w:u w:val="single"/>
        </w:rPr>
      </w:pPr>
      <w:r w:rsidRPr="00B205D7">
        <w:rPr>
          <w:sz w:val="24"/>
          <w:szCs w:val="24"/>
          <w:u w:val="single"/>
        </w:rPr>
        <w:t xml:space="preserve">The IJ </w:t>
      </w:r>
      <w:r w:rsidRPr="00B205D7" w:rsidR="00B500B8">
        <w:rPr>
          <w:sz w:val="24"/>
          <w:szCs w:val="24"/>
          <w:u w:val="single"/>
        </w:rPr>
        <w:t>F</w:t>
      </w:r>
      <w:r w:rsidRPr="00B205D7">
        <w:rPr>
          <w:sz w:val="24"/>
          <w:szCs w:val="24"/>
          <w:u w:val="single"/>
        </w:rPr>
        <w:t xml:space="preserve">ailed to </w:t>
      </w:r>
      <w:r w:rsidRPr="00B205D7" w:rsidR="00B500B8">
        <w:rPr>
          <w:sz w:val="24"/>
          <w:szCs w:val="24"/>
          <w:u w:val="single"/>
        </w:rPr>
        <w:t>A</w:t>
      </w:r>
      <w:r w:rsidRPr="00B205D7">
        <w:rPr>
          <w:sz w:val="24"/>
          <w:szCs w:val="24"/>
          <w:u w:val="single"/>
        </w:rPr>
        <w:t xml:space="preserve">ddress the </w:t>
      </w:r>
      <w:r w:rsidRPr="00B205D7" w:rsidR="00B500B8">
        <w:rPr>
          <w:sz w:val="24"/>
          <w:szCs w:val="24"/>
          <w:u w:val="single"/>
        </w:rPr>
        <w:t>P</w:t>
      </w:r>
      <w:r w:rsidRPr="00B205D7">
        <w:rPr>
          <w:sz w:val="24"/>
          <w:szCs w:val="24"/>
          <w:u w:val="single"/>
        </w:rPr>
        <w:t xml:space="preserve">olitical </w:t>
      </w:r>
      <w:r w:rsidRPr="00B205D7" w:rsidR="00B500B8">
        <w:rPr>
          <w:sz w:val="24"/>
          <w:szCs w:val="24"/>
          <w:u w:val="single"/>
        </w:rPr>
        <w:t>O</w:t>
      </w:r>
      <w:r w:rsidRPr="00B205D7">
        <w:rPr>
          <w:sz w:val="24"/>
          <w:szCs w:val="24"/>
          <w:u w:val="single"/>
        </w:rPr>
        <w:t xml:space="preserve">pinion </w:t>
      </w:r>
      <w:r w:rsidRPr="00B205D7" w:rsidR="00B500B8">
        <w:rPr>
          <w:sz w:val="24"/>
          <w:szCs w:val="24"/>
          <w:u w:val="single"/>
        </w:rPr>
        <w:t>C</w:t>
      </w:r>
      <w:r w:rsidRPr="00B205D7">
        <w:rPr>
          <w:sz w:val="24"/>
          <w:szCs w:val="24"/>
          <w:u w:val="single"/>
        </w:rPr>
        <w:t>laim</w:t>
      </w:r>
    </w:p>
    <w:p w:rsidRPr="00B205D7" w:rsidR="00CD2C07" w:rsidP="00A6685F" w:rsidRDefault="00CD2C07" w14:paraId="4507DB1A" w14:textId="77777777">
      <w:pPr>
        <w:pStyle w:val="ListParagraph"/>
        <w:ind w:left="1440"/>
        <w:rPr>
          <w:sz w:val="24"/>
          <w:szCs w:val="24"/>
        </w:rPr>
      </w:pPr>
    </w:p>
    <w:p w:rsidRPr="00B205D7" w:rsidR="003123D6" w:rsidP="00AE7D05" w:rsidRDefault="003123D6" w14:paraId="5185BE1A" w14:textId="60E1FE5F">
      <w:pPr>
        <w:spacing w:line="480" w:lineRule="auto"/>
        <w:ind w:firstLine="720"/>
      </w:pPr>
      <w:r w:rsidRPr="00B205D7">
        <w:lastRenderedPageBreak/>
        <w:t xml:space="preserve">As part of her I-589 application, </w:t>
      </w:r>
      <w:r w:rsidR="00706EEB">
        <w:t>A-</w:t>
      </w:r>
      <w:r w:rsidRPr="00B205D7">
        <w:t xml:space="preserve"> submitted that she is seeking withholding of removal based on her membership in a particular social group, torture convention, and </w:t>
      </w:r>
      <w:r w:rsidRPr="00B205D7">
        <w:rPr>
          <w:i/>
        </w:rPr>
        <w:t>political opinion</w:t>
      </w:r>
      <w:r w:rsidRPr="00B205D7">
        <w:t>.</w:t>
      </w:r>
      <w:r w:rsidRPr="00B205D7">
        <w:rPr>
          <w:rStyle w:val="FootnoteReference"/>
        </w:rPr>
        <w:footnoteReference w:id="59"/>
      </w:r>
      <w:r w:rsidRPr="00B205D7">
        <w:t xml:space="preserve"> Additionally, she submitted a brief in support of her political opinion claim, which included arguments that </w:t>
      </w:r>
      <w:r w:rsidRPr="00B205D7" w:rsidR="0009593D">
        <w:t>“</w:t>
      </w:r>
      <w:r w:rsidR="00706EEB">
        <w:t>M-</w:t>
      </w:r>
      <w:r w:rsidRPr="00B205D7">
        <w:t xml:space="preserve"> and the Mexican government persecuted </w:t>
      </w:r>
      <w:r w:rsidR="00706EEB">
        <w:t>A-</w:t>
      </w:r>
      <w:r w:rsidRPr="00B205D7">
        <w:t xml:space="preserve"> for her feminist beliefs</w:t>
      </w:r>
      <w:r w:rsidRPr="00B205D7" w:rsidR="0009593D">
        <w:t>”</w:t>
      </w:r>
      <w:r w:rsidRPr="00B205D7">
        <w:t xml:space="preserve"> and that </w:t>
      </w:r>
      <w:r w:rsidRPr="00B205D7" w:rsidR="0009593D">
        <w:t>“</w:t>
      </w:r>
      <w:r w:rsidR="00706EEB">
        <w:t>M-</w:t>
      </w:r>
      <w:r w:rsidRPr="00B205D7" w:rsidR="0009593D">
        <w:t>’</w:t>
      </w:r>
      <w:r w:rsidRPr="00B205D7">
        <w:t>s attacks on her intelligence and the value of her work demonstrate his insecurity, his anger at feeling inferior to a woman.</w:t>
      </w:r>
      <w:r w:rsidRPr="00B205D7" w:rsidR="0009593D">
        <w:t>”</w:t>
      </w:r>
      <w:r w:rsidRPr="00B205D7">
        <w:rPr>
          <w:rStyle w:val="FootnoteReference"/>
        </w:rPr>
        <w:footnoteReference w:id="60"/>
      </w:r>
    </w:p>
    <w:p w:rsidRPr="00B205D7" w:rsidR="003123D6" w:rsidP="00AE7D05" w:rsidRDefault="003123D6" w14:paraId="12DACC08" w14:textId="27A2B4CF">
      <w:pPr>
        <w:spacing w:line="480" w:lineRule="auto"/>
        <w:ind w:firstLine="720"/>
      </w:pPr>
      <w:r w:rsidRPr="00B205D7">
        <w:t xml:space="preserve">However, despite </w:t>
      </w:r>
      <w:r w:rsidR="00706EEB">
        <w:t>A-</w:t>
      </w:r>
      <w:r w:rsidRPr="00B205D7">
        <w:t xml:space="preserve"> clearly arguing as part of her application that she has a well-founded fear of persecution if returned to Mexico on account of her </w:t>
      </w:r>
      <w:r w:rsidRPr="00B205D7" w:rsidR="00B500B8">
        <w:t xml:space="preserve">actual or </w:t>
      </w:r>
      <w:r w:rsidRPr="00B205D7">
        <w:t>imputed political opinion, Judge Padilla, in his oral decision, failed to acknowledge, let alone decide on her political opinion claim.</w:t>
      </w:r>
      <w:r w:rsidRPr="00B205D7">
        <w:rPr>
          <w:rStyle w:val="FootnoteReference"/>
        </w:rPr>
        <w:footnoteReference w:id="61"/>
      </w:r>
      <w:r w:rsidRPr="00B205D7">
        <w:t xml:space="preserve"> </w:t>
      </w:r>
    </w:p>
    <w:p w:rsidRPr="00B205D7" w:rsidR="003123D6" w:rsidP="00AE7D05" w:rsidRDefault="003123D6" w14:paraId="6ED2078D" w14:textId="03D049EF">
      <w:pPr>
        <w:spacing w:line="480" w:lineRule="auto"/>
        <w:ind w:firstLine="720"/>
      </w:pPr>
      <w:r w:rsidRPr="00B205D7">
        <w:t>In light of Judge Padilla</w:t>
      </w:r>
      <w:r w:rsidRPr="00B205D7" w:rsidR="006B2062">
        <w:t>’</w:t>
      </w:r>
      <w:r w:rsidRPr="00B205D7">
        <w:t xml:space="preserve">s failure to address </w:t>
      </w:r>
      <w:r w:rsidR="00706EEB">
        <w:t>A-</w:t>
      </w:r>
      <w:r w:rsidRPr="00B205D7" w:rsidR="006B2062">
        <w:t>’</w:t>
      </w:r>
      <w:r w:rsidRPr="00B205D7">
        <w:t xml:space="preserve">s claim of persecution on account of political opinion, the case should be remanded for further proceedings. </w:t>
      </w:r>
      <w:r w:rsidRPr="00B205D7" w:rsidR="00B500B8">
        <w:t>T</w:t>
      </w:r>
      <w:r w:rsidRPr="00B205D7">
        <w:t xml:space="preserve">he BIA and Third Circuit have remanded appeals when an issue was inadequately addressed or not sufficiently explained. In </w:t>
      </w:r>
      <w:r w:rsidRPr="00B205D7">
        <w:rPr>
          <w:i/>
        </w:rPr>
        <w:t>In re M-G-M-M-</w:t>
      </w:r>
      <w:r w:rsidRPr="00B205D7">
        <w:t xml:space="preserve">, the board remanded the case </w:t>
      </w:r>
      <w:r w:rsidRPr="00B205D7" w:rsidR="006B2062">
        <w:t>“</w:t>
      </w:r>
      <w:r w:rsidRPr="00B205D7">
        <w:t>for the Immigration Judge to consider the argument</w:t>
      </w:r>
      <w:r w:rsidRPr="00B205D7" w:rsidR="006B2062">
        <w:t>”</w:t>
      </w:r>
      <w:r w:rsidRPr="00B205D7">
        <w:t xml:space="preserve"> that she was not seeking an order of dependency, but an order granting her father sole custody, which would then serve as a predicate order Special Immigrant Juvenile Status.</w:t>
      </w:r>
      <w:r w:rsidRPr="00B205D7">
        <w:rPr>
          <w:rStyle w:val="FootnoteReference"/>
        </w:rPr>
        <w:footnoteReference w:id="62"/>
      </w:r>
      <w:r w:rsidRPr="00B205D7">
        <w:t xml:space="preserve"> The </w:t>
      </w:r>
      <w:r w:rsidR="00C47D73">
        <w:t>B</w:t>
      </w:r>
      <w:r w:rsidRPr="00B205D7">
        <w:t xml:space="preserve">oard added that the </w:t>
      </w:r>
      <w:r w:rsidRPr="00B205D7" w:rsidR="006B2062">
        <w:t>“</w:t>
      </w:r>
      <w:r w:rsidRPr="00B205D7">
        <w:t>Immigration Judge</w:t>
      </w:r>
      <w:r w:rsidRPr="00B205D7" w:rsidR="006B2062">
        <w:t>’</w:t>
      </w:r>
      <w:r w:rsidRPr="00B205D7">
        <w:t>s decision, as presently constituted, does not provide us with a meaningful basis for appellate review.</w:t>
      </w:r>
      <w:r w:rsidRPr="00B205D7" w:rsidR="006B2062">
        <w:t>”</w:t>
      </w:r>
      <w:r w:rsidRPr="00B205D7">
        <w:rPr>
          <w:rStyle w:val="FootnoteReference"/>
        </w:rPr>
        <w:footnoteReference w:id="63"/>
      </w:r>
      <w:r w:rsidRPr="00B205D7">
        <w:t xml:space="preserve"> In </w:t>
      </w:r>
      <w:r w:rsidRPr="00B205D7">
        <w:rPr>
          <w:i/>
        </w:rPr>
        <w:t>Konan v. Atty. Gen. of U.S.</w:t>
      </w:r>
      <w:r w:rsidRPr="00B205D7">
        <w:t xml:space="preserve">, the </w:t>
      </w:r>
      <w:r w:rsidRPr="00B205D7" w:rsidR="006B2062">
        <w:t>T</w:t>
      </w:r>
      <w:r w:rsidRPr="00B205D7">
        <w:t xml:space="preserve">hird </w:t>
      </w:r>
      <w:r w:rsidRPr="00B205D7" w:rsidR="006B2062">
        <w:t>C</w:t>
      </w:r>
      <w:r w:rsidRPr="00B205D7">
        <w:t xml:space="preserve">ircuit </w:t>
      </w:r>
      <w:r w:rsidRPr="00B205D7" w:rsidR="006B2062">
        <w:t>C</w:t>
      </w:r>
      <w:r w:rsidRPr="00B205D7">
        <w:t>ourt</w:t>
      </w:r>
      <w:r w:rsidRPr="00B205D7" w:rsidR="006B2062">
        <w:t xml:space="preserve"> of Appeals</w:t>
      </w:r>
      <w:r w:rsidRPr="00B205D7">
        <w:t xml:space="preserve"> remanded the case because the BIA failed to provide a rationale for denying the respondents Particular Social Group claim, thus </w:t>
      </w:r>
      <w:r w:rsidRPr="00B205D7" w:rsidR="006B2062">
        <w:t>“</w:t>
      </w:r>
      <w:r w:rsidRPr="00B205D7">
        <w:t xml:space="preserve">there is, as of yet, </w:t>
      </w:r>
      <w:r w:rsidRPr="00B205D7">
        <w:lastRenderedPageBreak/>
        <w:t>nothing for us to review.</w:t>
      </w:r>
      <w:r w:rsidRPr="00B205D7" w:rsidR="006B2062">
        <w:t>”</w:t>
      </w:r>
      <w:r w:rsidRPr="00B205D7">
        <w:rPr>
          <w:rStyle w:val="FootnoteReference"/>
        </w:rPr>
        <w:footnoteReference w:id="64"/>
      </w:r>
      <w:r w:rsidRPr="00B205D7">
        <w:t xml:space="preserve"> The court further held that </w:t>
      </w:r>
      <w:r w:rsidRPr="00B205D7" w:rsidR="006B2062">
        <w:t>“</w:t>
      </w:r>
      <w:r w:rsidRPr="00B205D7">
        <w:t>basic principles of administrative law thus require that we remand the case for the BIA to consider this claim in the first instance.</w:t>
      </w:r>
      <w:r w:rsidRPr="00B205D7" w:rsidR="006B2062">
        <w:t>”</w:t>
      </w:r>
      <w:r w:rsidRPr="00B205D7">
        <w:rPr>
          <w:rStyle w:val="FootnoteReference"/>
        </w:rPr>
        <w:footnoteReference w:id="65"/>
      </w:r>
    </w:p>
    <w:p w:rsidRPr="00B205D7" w:rsidR="00B500B8" w:rsidP="00AE7D05" w:rsidRDefault="00B500B8" w14:paraId="2CA6935B" w14:textId="68C7BFA9">
      <w:pPr>
        <w:spacing w:line="480" w:lineRule="auto"/>
        <w:ind w:firstLine="720"/>
      </w:pPr>
      <w:r w:rsidRPr="00B205D7">
        <w:t xml:space="preserve">Accordingly, the IJ’s failure to address Ms. </w:t>
      </w:r>
      <w:r w:rsidR="00706EEB">
        <w:t>C-T-</w:t>
      </w:r>
      <w:r w:rsidRPr="00B205D7">
        <w:t xml:space="preserve">’s political opinion claim is grounds for remand. </w:t>
      </w:r>
    </w:p>
    <w:p w:rsidRPr="00B205D7" w:rsidR="00CD2C07" w:rsidP="00CD2C07" w:rsidRDefault="00CD2C07" w14:paraId="34B62B45" w14:textId="652BA969">
      <w:pPr>
        <w:pStyle w:val="ListParagraph"/>
        <w:numPr>
          <w:ilvl w:val="0"/>
          <w:numId w:val="24"/>
        </w:numPr>
        <w:rPr>
          <w:rFonts w:eastAsia="Times New Roman"/>
          <w:sz w:val="24"/>
          <w:szCs w:val="24"/>
          <w:u w:val="single"/>
        </w:rPr>
      </w:pPr>
      <w:r w:rsidRPr="00B205D7">
        <w:rPr>
          <w:sz w:val="24"/>
          <w:szCs w:val="24"/>
          <w:u w:val="single"/>
        </w:rPr>
        <w:t xml:space="preserve">Ms. </w:t>
      </w:r>
      <w:r w:rsidR="00706EEB">
        <w:rPr>
          <w:sz w:val="24"/>
          <w:szCs w:val="24"/>
          <w:u w:val="single"/>
        </w:rPr>
        <w:t>C-T-</w:t>
      </w:r>
      <w:r w:rsidRPr="00B205D7">
        <w:rPr>
          <w:sz w:val="24"/>
          <w:szCs w:val="24"/>
          <w:u w:val="single"/>
        </w:rPr>
        <w:t xml:space="preserve"> was </w:t>
      </w:r>
      <w:r w:rsidRPr="00B205D7" w:rsidR="00B500B8">
        <w:rPr>
          <w:sz w:val="24"/>
          <w:szCs w:val="24"/>
          <w:u w:val="single"/>
        </w:rPr>
        <w:t>P</w:t>
      </w:r>
      <w:r w:rsidRPr="00B205D7">
        <w:rPr>
          <w:sz w:val="24"/>
          <w:szCs w:val="24"/>
          <w:u w:val="single"/>
        </w:rPr>
        <w:t xml:space="preserve">ersecuted and has a </w:t>
      </w:r>
      <w:r w:rsidRPr="00B205D7" w:rsidR="00B500B8">
        <w:rPr>
          <w:sz w:val="24"/>
          <w:szCs w:val="24"/>
          <w:u w:val="single"/>
        </w:rPr>
        <w:t>W</w:t>
      </w:r>
      <w:r w:rsidRPr="00B205D7">
        <w:rPr>
          <w:sz w:val="24"/>
          <w:szCs w:val="24"/>
          <w:u w:val="single"/>
        </w:rPr>
        <w:t>ell-</w:t>
      </w:r>
      <w:r w:rsidRPr="00B205D7" w:rsidR="00B500B8">
        <w:rPr>
          <w:sz w:val="24"/>
          <w:szCs w:val="24"/>
          <w:u w:val="single"/>
        </w:rPr>
        <w:t>F</w:t>
      </w:r>
      <w:r w:rsidRPr="00B205D7">
        <w:rPr>
          <w:sz w:val="24"/>
          <w:szCs w:val="24"/>
          <w:u w:val="single"/>
        </w:rPr>
        <w:t xml:space="preserve">ounded </w:t>
      </w:r>
      <w:r w:rsidRPr="00B205D7" w:rsidR="00B500B8">
        <w:rPr>
          <w:sz w:val="24"/>
          <w:szCs w:val="24"/>
          <w:u w:val="single"/>
        </w:rPr>
        <w:t>F</w:t>
      </w:r>
      <w:r w:rsidRPr="00B205D7">
        <w:rPr>
          <w:sz w:val="24"/>
          <w:szCs w:val="24"/>
          <w:u w:val="single"/>
        </w:rPr>
        <w:t xml:space="preserve">ear of </w:t>
      </w:r>
      <w:r w:rsidRPr="00B205D7" w:rsidR="00B500B8">
        <w:rPr>
          <w:sz w:val="24"/>
          <w:szCs w:val="24"/>
          <w:u w:val="single"/>
        </w:rPr>
        <w:t>F</w:t>
      </w:r>
      <w:r w:rsidRPr="00B205D7">
        <w:rPr>
          <w:sz w:val="24"/>
          <w:szCs w:val="24"/>
          <w:u w:val="single"/>
        </w:rPr>
        <w:t xml:space="preserve">uture </w:t>
      </w:r>
      <w:r w:rsidRPr="00B205D7" w:rsidR="00B500B8">
        <w:rPr>
          <w:sz w:val="24"/>
          <w:szCs w:val="24"/>
          <w:u w:val="single"/>
        </w:rPr>
        <w:t>P</w:t>
      </w:r>
      <w:r w:rsidRPr="00B205D7">
        <w:rPr>
          <w:sz w:val="24"/>
          <w:szCs w:val="24"/>
          <w:u w:val="single"/>
        </w:rPr>
        <w:t xml:space="preserve">ersecution on </w:t>
      </w:r>
      <w:r w:rsidRPr="00B205D7" w:rsidR="00B500B8">
        <w:rPr>
          <w:sz w:val="24"/>
          <w:szCs w:val="24"/>
          <w:u w:val="single"/>
        </w:rPr>
        <w:t>A</w:t>
      </w:r>
      <w:r w:rsidRPr="00B205D7">
        <w:rPr>
          <w:sz w:val="24"/>
          <w:szCs w:val="24"/>
          <w:u w:val="single"/>
        </w:rPr>
        <w:t xml:space="preserve">ccount of her </w:t>
      </w:r>
      <w:r w:rsidRPr="00B205D7" w:rsidR="00B500B8">
        <w:rPr>
          <w:sz w:val="24"/>
          <w:szCs w:val="24"/>
          <w:u w:val="single"/>
        </w:rPr>
        <w:t>P</w:t>
      </w:r>
      <w:r w:rsidRPr="00B205D7">
        <w:rPr>
          <w:sz w:val="24"/>
          <w:szCs w:val="24"/>
          <w:u w:val="single"/>
        </w:rPr>
        <w:t>olitical</w:t>
      </w:r>
      <w:r w:rsidRPr="00B205D7" w:rsidR="00B500B8">
        <w:rPr>
          <w:sz w:val="24"/>
          <w:szCs w:val="24"/>
          <w:u w:val="single"/>
        </w:rPr>
        <w:t xml:space="preserve"> O</w:t>
      </w:r>
      <w:r w:rsidRPr="00B205D7">
        <w:rPr>
          <w:sz w:val="24"/>
          <w:szCs w:val="24"/>
          <w:u w:val="single"/>
        </w:rPr>
        <w:t xml:space="preserve">pinion. </w:t>
      </w:r>
    </w:p>
    <w:p w:rsidRPr="00B205D7" w:rsidR="003123D6" w:rsidP="00CD2C07" w:rsidRDefault="003123D6" w14:paraId="4E935059" w14:textId="77777777">
      <w:pPr>
        <w:pStyle w:val="ListParagraph"/>
        <w:rPr>
          <w:sz w:val="24"/>
          <w:szCs w:val="24"/>
        </w:rPr>
      </w:pPr>
    </w:p>
    <w:p w:rsidRPr="00B205D7" w:rsidR="003123D6" w:rsidP="00C167C4" w:rsidRDefault="003123D6" w14:paraId="047E5561" w14:textId="268EC130">
      <w:pPr>
        <w:widowControl w:val="0"/>
        <w:spacing w:line="480" w:lineRule="auto"/>
        <w:ind w:firstLine="720"/>
      </w:pPr>
      <w:r w:rsidRPr="00B205D7">
        <w:t xml:space="preserve">In determining whether an asylum applicant was persecuted because of an imputed political opinion, </w:t>
      </w:r>
      <w:r w:rsidRPr="00B205D7" w:rsidR="006B2062">
        <w:t xml:space="preserve">courts </w:t>
      </w:r>
      <w:r w:rsidRPr="00B205D7">
        <w:t xml:space="preserve">focus on whether </w:t>
      </w:r>
      <w:r w:rsidRPr="00B205D7" w:rsidR="006B2062">
        <w:t>“</w:t>
      </w:r>
      <w:r w:rsidRPr="00B205D7">
        <w:t>the persecutor attributed a political opinion to the victim, and acted upon the attribution.</w:t>
      </w:r>
      <w:r w:rsidRPr="00B205D7" w:rsidR="006B2062">
        <w:t>”</w:t>
      </w:r>
      <w:r w:rsidRPr="00B205D7">
        <w:rPr>
          <w:rStyle w:val="FootnoteReference"/>
        </w:rPr>
        <w:footnoteReference w:id="66"/>
      </w:r>
      <w:r w:rsidRPr="00B205D7">
        <w:t xml:space="preserve"> However, both the BIA and Third </w:t>
      </w:r>
      <w:r w:rsidR="004C23F9">
        <w:t>C</w:t>
      </w:r>
      <w:r w:rsidRPr="00B205D7">
        <w:t>ircuit have recognized the difficulty of determining the exact motives behind an attack.</w:t>
      </w:r>
      <w:r w:rsidRPr="00B205D7">
        <w:rPr>
          <w:rStyle w:val="FootnoteReference"/>
        </w:rPr>
        <w:footnoteReference w:id="67"/>
      </w:r>
      <w:r w:rsidRPr="00B205D7">
        <w:t xml:space="preserve"> Therefore, in adjudicating </w:t>
      </w:r>
      <w:r w:rsidRPr="00B205D7" w:rsidR="006B2062">
        <w:t>such</w:t>
      </w:r>
      <w:r w:rsidRPr="00B205D7">
        <w:t xml:space="preserve"> cases, </w:t>
      </w:r>
      <w:r w:rsidRPr="00B205D7" w:rsidR="006B2062">
        <w:t>courts “</w:t>
      </w:r>
      <w:r w:rsidRPr="00B205D7">
        <w:t>afford a generous standard for protection in cases of doubt.</w:t>
      </w:r>
      <w:r w:rsidRPr="00B205D7" w:rsidR="006B2062">
        <w:t>”</w:t>
      </w:r>
      <w:r w:rsidRPr="00B205D7">
        <w:rPr>
          <w:rStyle w:val="FootnoteReference"/>
        </w:rPr>
        <w:footnoteReference w:id="68"/>
      </w:r>
    </w:p>
    <w:p w:rsidRPr="00B205D7" w:rsidR="003123D6" w:rsidP="003123D6" w:rsidRDefault="003123D6" w14:paraId="7D9E250E" w14:textId="6AB22DAD">
      <w:pPr>
        <w:spacing w:line="480" w:lineRule="auto"/>
        <w:ind w:firstLine="360"/>
      </w:pPr>
      <w:r w:rsidRPr="00B205D7">
        <w:tab/>
      </w:r>
      <w:r w:rsidRPr="00B205D7">
        <w:t xml:space="preserve">Here, </w:t>
      </w:r>
      <w:r w:rsidR="00706EEB">
        <w:t>M-</w:t>
      </w:r>
      <w:r w:rsidRPr="00B205D7">
        <w:t xml:space="preserve"> has always attributed the political opinion on </w:t>
      </w:r>
      <w:r w:rsidR="00706EEB">
        <w:t>A-</w:t>
      </w:r>
      <w:r w:rsidRPr="00B205D7">
        <w:t xml:space="preserve"> that women </w:t>
      </w:r>
      <w:r w:rsidRPr="00B205D7" w:rsidR="00B500B8">
        <w:t xml:space="preserve">could be </w:t>
      </w:r>
      <w:r w:rsidRPr="00B205D7">
        <w:t xml:space="preserve">independent. </w:t>
      </w:r>
      <w:r w:rsidR="00706EEB">
        <w:t>M-</w:t>
      </w:r>
      <w:r w:rsidRPr="00B205D7">
        <w:t xml:space="preserve"> always knew that </w:t>
      </w:r>
      <w:r w:rsidR="00706EEB">
        <w:t>A-</w:t>
      </w:r>
      <w:r w:rsidRPr="00B205D7">
        <w:t xml:space="preserve"> was an educated, professional working woman as they met while she was working.</w:t>
      </w:r>
      <w:r w:rsidRPr="00B205D7">
        <w:rPr>
          <w:rStyle w:val="FootnoteReference"/>
        </w:rPr>
        <w:footnoteReference w:id="69"/>
      </w:r>
      <w:r w:rsidRPr="00B205D7">
        <w:t xml:space="preserve"> She earned her own income and was publicly well-known and respected in her community.</w:t>
      </w:r>
      <w:r w:rsidRPr="00B205D7">
        <w:rPr>
          <w:rStyle w:val="FootnoteReference"/>
        </w:rPr>
        <w:footnoteReference w:id="70"/>
      </w:r>
      <w:r w:rsidRPr="00B205D7">
        <w:t xml:space="preserve"> She did not rely on </w:t>
      </w:r>
      <w:r w:rsidR="00706EEB">
        <w:t>M-</w:t>
      </w:r>
      <w:r w:rsidRPr="00B205D7">
        <w:t xml:space="preserve"> for any support and instead </w:t>
      </w:r>
      <w:r w:rsidRPr="00B205D7">
        <w:rPr>
          <w:i/>
        </w:rPr>
        <w:t>chose</w:t>
      </w:r>
      <w:r w:rsidRPr="00B205D7">
        <w:t xml:space="preserve"> to live with him and his family.</w:t>
      </w:r>
      <w:r w:rsidRPr="00B205D7">
        <w:rPr>
          <w:rStyle w:val="FootnoteReference"/>
        </w:rPr>
        <w:footnoteReference w:id="71"/>
      </w:r>
      <w:r w:rsidRPr="00B205D7">
        <w:t xml:space="preserve"> This enraged </w:t>
      </w:r>
      <w:r w:rsidR="00706EEB">
        <w:t>M-</w:t>
      </w:r>
      <w:r w:rsidRPr="00B205D7">
        <w:t xml:space="preserve">, evident by his verbal insults as well as his physical </w:t>
      </w:r>
      <w:r w:rsidRPr="00B205D7">
        <w:lastRenderedPageBreak/>
        <w:t xml:space="preserve">abuse. He would call her </w:t>
      </w:r>
      <w:r w:rsidRPr="00B205D7" w:rsidR="006B2062">
        <w:t>“</w:t>
      </w:r>
      <w:r w:rsidRPr="00B205D7">
        <w:t>stupid</w:t>
      </w:r>
      <w:r w:rsidRPr="00B205D7" w:rsidR="006B2062">
        <w:t>”</w:t>
      </w:r>
      <w:r w:rsidRPr="00B205D7">
        <w:t xml:space="preserve"> and </w:t>
      </w:r>
      <w:r w:rsidRPr="00B205D7" w:rsidR="006B2062">
        <w:t>“</w:t>
      </w:r>
      <w:r w:rsidRPr="00B205D7">
        <w:t>worthless,</w:t>
      </w:r>
      <w:r w:rsidRPr="00B205D7" w:rsidR="006B2062">
        <w:t>”</w:t>
      </w:r>
      <w:r w:rsidRPr="00B205D7">
        <w:t xml:space="preserve"> knowing full well she earned a college degree and was working on her own.</w:t>
      </w:r>
      <w:r w:rsidRPr="00B205D7">
        <w:rPr>
          <w:rStyle w:val="FootnoteReference"/>
        </w:rPr>
        <w:footnoteReference w:id="72"/>
      </w:r>
      <w:r w:rsidRPr="00B205D7" w:rsidR="00320DFC">
        <w:t xml:space="preserve"> </w:t>
      </w:r>
    </w:p>
    <w:p w:rsidRPr="00B205D7" w:rsidR="004D57F8" w:rsidP="00AE7D05" w:rsidRDefault="003123D6" w14:paraId="37007A7B" w14:textId="23E6ADBE">
      <w:pPr>
        <w:spacing w:line="480" w:lineRule="auto"/>
        <w:ind w:firstLine="720"/>
        <w:rPr>
          <w:rFonts w:eastAsia="Times New Roman"/>
        </w:rPr>
      </w:pPr>
      <w:r w:rsidRPr="00B205D7">
        <w:t xml:space="preserve">Much of the abuse </w:t>
      </w:r>
      <w:r w:rsidR="00706EEB">
        <w:t>A-</w:t>
      </w:r>
      <w:r w:rsidRPr="00B205D7">
        <w:t xml:space="preserve"> suffered at the hands of </w:t>
      </w:r>
      <w:r w:rsidR="00706EEB">
        <w:t>M-</w:t>
      </w:r>
      <w:r w:rsidRPr="00B205D7">
        <w:t xml:space="preserve"> was a direct result of her independence. He would become enraged when </w:t>
      </w:r>
      <w:r w:rsidR="00706EEB">
        <w:t>A-</w:t>
      </w:r>
      <w:r w:rsidRPr="00B205D7" w:rsidR="006B2062">
        <w:t>’</w:t>
      </w:r>
      <w:r w:rsidRPr="00B205D7">
        <w:t xml:space="preserve">s co-workers called her to </w:t>
      </w:r>
      <w:r w:rsidRPr="00B205D7">
        <w:rPr>
          <w:rFonts w:eastAsia="Times New Roman"/>
        </w:rPr>
        <w:t>ask about certain programs at work.</w:t>
      </w:r>
      <w:r w:rsidRPr="00B205D7">
        <w:rPr>
          <w:rStyle w:val="FootnoteReference"/>
          <w:rFonts w:eastAsia="Times New Roman"/>
        </w:rPr>
        <w:footnoteReference w:id="73"/>
      </w:r>
      <w:r w:rsidRPr="00B205D7">
        <w:rPr>
          <w:rFonts w:eastAsia="Times New Roman"/>
        </w:rPr>
        <w:t xml:space="preserve"> At a public function, when a co-worker praised </w:t>
      </w:r>
      <w:r w:rsidR="00706EEB">
        <w:rPr>
          <w:rFonts w:eastAsia="Times New Roman"/>
        </w:rPr>
        <w:t>A-</w:t>
      </w:r>
      <w:r w:rsidRPr="00B205D7">
        <w:rPr>
          <w:rFonts w:eastAsia="Times New Roman"/>
        </w:rPr>
        <w:t xml:space="preserve"> as a good worker, he struck her </w:t>
      </w:r>
      <w:r w:rsidR="001E1E52">
        <w:rPr>
          <w:rFonts w:eastAsia="Times New Roman"/>
        </w:rPr>
        <w:t>i</w:t>
      </w:r>
      <w:r w:rsidRPr="00B205D7">
        <w:rPr>
          <w:rFonts w:eastAsia="Times New Roman"/>
        </w:rPr>
        <w:t>n front of her co-workers as well as other members of her department.</w:t>
      </w:r>
      <w:r w:rsidRPr="00B205D7">
        <w:rPr>
          <w:rStyle w:val="FootnoteReference"/>
          <w:rFonts w:eastAsia="Times New Roman"/>
        </w:rPr>
        <w:footnoteReference w:id="74"/>
      </w:r>
      <w:r w:rsidRPr="00B205D7">
        <w:rPr>
          <w:rFonts w:eastAsia="Times New Roman"/>
        </w:rPr>
        <w:t xml:space="preserve"> </w:t>
      </w:r>
      <w:r w:rsidR="00706EEB">
        <w:rPr>
          <w:rFonts w:eastAsia="Times New Roman"/>
        </w:rPr>
        <w:t>A-</w:t>
      </w:r>
      <w:r w:rsidRPr="00B205D7">
        <w:rPr>
          <w:rFonts w:eastAsia="Times New Roman"/>
        </w:rPr>
        <w:t xml:space="preserve">’s </w:t>
      </w:r>
      <w:r w:rsidRPr="00B205D7" w:rsidR="006B2062">
        <w:rPr>
          <w:rFonts w:eastAsia="Times New Roman"/>
        </w:rPr>
        <w:t xml:space="preserve">real or </w:t>
      </w:r>
      <w:r w:rsidRPr="00B205D7">
        <w:rPr>
          <w:rFonts w:eastAsia="Times New Roman"/>
        </w:rPr>
        <w:t xml:space="preserve">imputed political opinion that women </w:t>
      </w:r>
      <w:r w:rsidRPr="00B205D7" w:rsidR="006B2062">
        <w:rPr>
          <w:rFonts w:eastAsia="Times New Roman"/>
        </w:rPr>
        <w:t xml:space="preserve">could be </w:t>
      </w:r>
      <w:r w:rsidRPr="00B205D7">
        <w:rPr>
          <w:rFonts w:eastAsia="Times New Roman"/>
        </w:rPr>
        <w:t xml:space="preserve">independent was at the very least </w:t>
      </w:r>
      <w:r w:rsidRPr="00B205D7" w:rsidR="006B2062">
        <w:rPr>
          <w:rFonts w:eastAsia="Times New Roman"/>
        </w:rPr>
        <w:t xml:space="preserve">one </w:t>
      </w:r>
      <w:r w:rsidRPr="00B205D7">
        <w:rPr>
          <w:rFonts w:eastAsia="Times New Roman"/>
        </w:rPr>
        <w:t>“central” reason for the abuse she suffered.</w:t>
      </w:r>
      <w:r w:rsidRPr="00B205D7">
        <w:rPr>
          <w:rStyle w:val="FootnoteReference"/>
          <w:rFonts w:eastAsia="Times New Roman"/>
        </w:rPr>
        <w:footnoteReference w:id="75"/>
      </w:r>
    </w:p>
    <w:p w:rsidRPr="00B205D7" w:rsidR="003123D6" w:rsidP="00B205D7" w:rsidRDefault="003123D6" w14:paraId="286785D8" w14:textId="753DE187">
      <w:pPr>
        <w:pStyle w:val="ListParagraph"/>
        <w:numPr>
          <w:ilvl w:val="0"/>
          <w:numId w:val="2"/>
        </w:numPr>
        <w:rPr>
          <w:rFonts w:eastAsiaTheme="minorHAnsi"/>
          <w:b/>
          <w:sz w:val="24"/>
          <w:szCs w:val="24"/>
        </w:rPr>
      </w:pPr>
      <w:r w:rsidRPr="00B205D7">
        <w:rPr>
          <w:b/>
          <w:sz w:val="24"/>
          <w:szCs w:val="24"/>
        </w:rPr>
        <w:t>THE IMMIGRATION JUDGE</w:t>
      </w:r>
      <w:r w:rsidRPr="00B205D7" w:rsidR="00B205D7">
        <w:rPr>
          <w:b/>
          <w:sz w:val="24"/>
          <w:szCs w:val="24"/>
        </w:rPr>
        <w:t>’</w:t>
      </w:r>
      <w:r w:rsidRPr="00B205D7">
        <w:rPr>
          <w:b/>
          <w:sz w:val="24"/>
          <w:szCs w:val="24"/>
        </w:rPr>
        <w:t xml:space="preserve">S FINDING THAT MS. </w:t>
      </w:r>
      <w:r w:rsidR="00706EEB">
        <w:rPr>
          <w:b/>
          <w:sz w:val="24"/>
          <w:szCs w:val="24"/>
        </w:rPr>
        <w:t>C-T-</w:t>
      </w:r>
      <w:r w:rsidRPr="00B205D7">
        <w:rPr>
          <w:b/>
          <w:sz w:val="24"/>
          <w:szCs w:val="24"/>
        </w:rPr>
        <w:t xml:space="preserve"> DID NOT MEET HER BURDEN OF PROOF FOR CONVENTION AGAINST TORTURE RELIEF IS CLEARLY ERRONEOUS </w:t>
      </w:r>
    </w:p>
    <w:p w:rsidRPr="00B205D7" w:rsidR="003123D6" w:rsidP="003123D6" w:rsidRDefault="003123D6" w14:paraId="26867C0C" w14:textId="77777777">
      <w:pPr>
        <w:rPr>
          <w:b/>
        </w:rPr>
      </w:pPr>
    </w:p>
    <w:p w:rsidRPr="00B205D7" w:rsidR="003123D6" w:rsidP="00AE7D05" w:rsidRDefault="003123D6" w14:paraId="1051A444" w14:textId="670CD2E3">
      <w:pPr>
        <w:spacing w:line="480" w:lineRule="auto"/>
        <w:ind w:firstLine="720"/>
        <w:rPr>
          <w:rFonts w:eastAsia="Times New Roman"/>
          <w:bCs/>
          <w:color w:val="333333"/>
          <w:shd w:val="clear" w:color="auto" w:fill="FFFFFF"/>
        </w:rPr>
      </w:pPr>
      <w:r w:rsidRPr="00B205D7">
        <w:rPr>
          <w:rFonts w:eastAsia="Times New Roman"/>
          <w:bCs/>
          <w:color w:val="333333"/>
          <w:shd w:val="clear" w:color="auto" w:fill="FFFFFF"/>
        </w:rPr>
        <w:t>Article 3 of the CAT provides that “[n]o State Party shall expel, retur</w:t>
      </w:r>
      <w:r w:rsidR="00C47D73">
        <w:rPr>
          <w:rFonts w:eastAsia="Times New Roman"/>
          <w:bCs/>
          <w:color w:val="333333"/>
          <w:shd w:val="clear" w:color="auto" w:fill="FFFFFF"/>
        </w:rPr>
        <w:t xml:space="preserve">n . . . </w:t>
      </w:r>
      <w:r w:rsidRPr="00B205D7">
        <w:rPr>
          <w:rFonts w:eastAsia="Times New Roman"/>
          <w:bCs/>
          <w:color w:val="333333"/>
          <w:shd w:val="clear" w:color="auto" w:fill="FFFFFF"/>
        </w:rPr>
        <w:t>or extradite a person to another State where there are substantial grounds for believing that he would be in danger of being subjected to torture.”</w:t>
      </w:r>
      <w:r w:rsidRPr="00B205D7">
        <w:rPr>
          <w:rStyle w:val="FootnoteReference"/>
          <w:rFonts w:eastAsia="Times New Roman"/>
          <w:bCs/>
          <w:color w:val="333333"/>
          <w:shd w:val="clear" w:color="auto" w:fill="FFFFFF"/>
        </w:rPr>
        <w:footnoteReference w:id="76"/>
      </w:r>
      <w:r w:rsidRPr="00B205D7">
        <w:rPr>
          <w:rFonts w:eastAsia="Times New Roman"/>
          <w:bCs/>
          <w:color w:val="333333"/>
          <w:shd w:val="clear" w:color="auto" w:fill="FFFFFF"/>
        </w:rPr>
        <w:t xml:space="preserve"> Unlike with asylum or withholding of removal, an applicant seeking relief under the CAT need not establish that he/she is a “refugee” and therefore need not establish that torture is inflicted “on account of” any protected status.</w:t>
      </w:r>
      <w:r w:rsidRPr="00B205D7">
        <w:rPr>
          <w:rStyle w:val="FootnoteReference"/>
          <w:rFonts w:eastAsia="Times New Roman"/>
          <w:bCs/>
          <w:color w:val="333333"/>
          <w:shd w:val="clear" w:color="auto" w:fill="FFFFFF"/>
        </w:rPr>
        <w:footnoteReference w:id="77"/>
      </w:r>
      <w:r w:rsidRPr="00B205D7">
        <w:rPr>
          <w:rFonts w:eastAsia="Times New Roman"/>
          <w:bCs/>
          <w:color w:val="333333"/>
          <w:shd w:val="clear" w:color="auto" w:fill="FFFFFF"/>
        </w:rPr>
        <w:t xml:space="preserve"> Furthermore, </w:t>
      </w:r>
      <w:r w:rsidRPr="00B205D7" w:rsidR="006B2062">
        <w:rPr>
          <w:rFonts w:eastAsia="Times New Roman"/>
          <w:bCs/>
          <w:color w:val="333333"/>
          <w:shd w:val="clear" w:color="auto" w:fill="FFFFFF"/>
        </w:rPr>
        <w:t xml:space="preserve">a </w:t>
      </w:r>
      <w:r w:rsidRPr="00B205D7">
        <w:rPr>
          <w:rFonts w:eastAsia="Times New Roman"/>
          <w:bCs/>
          <w:color w:val="333333"/>
          <w:shd w:val="clear" w:color="auto" w:fill="FFFFFF"/>
        </w:rPr>
        <w:t>denial of a claim for withholding of removal or asylum “does not control the analysis of a claim for relief under the Convention Against Torture.”</w:t>
      </w:r>
      <w:r w:rsidRPr="00B205D7">
        <w:rPr>
          <w:rStyle w:val="FootnoteReference"/>
          <w:rFonts w:eastAsia="Times New Roman"/>
          <w:bCs/>
          <w:color w:val="333333"/>
          <w:shd w:val="clear" w:color="auto" w:fill="FFFFFF"/>
        </w:rPr>
        <w:footnoteReference w:id="78"/>
      </w:r>
      <w:r w:rsidRPr="00B205D7">
        <w:rPr>
          <w:rFonts w:eastAsia="Times New Roman"/>
          <w:bCs/>
          <w:color w:val="333333"/>
          <w:shd w:val="clear" w:color="auto" w:fill="FFFFFF"/>
        </w:rPr>
        <w:t xml:space="preserve"> </w:t>
      </w:r>
    </w:p>
    <w:p w:rsidRPr="00B205D7" w:rsidR="006B2062" w:rsidP="003123D6" w:rsidRDefault="003123D6" w14:paraId="1DD47BE7" w14:textId="7C5ECB84">
      <w:pPr>
        <w:pStyle w:val="ListParagraph"/>
        <w:widowControl w:val="0"/>
        <w:numPr>
          <w:ilvl w:val="1"/>
          <w:numId w:val="3"/>
        </w:numPr>
        <w:rPr>
          <w:rFonts w:eastAsiaTheme="minorHAnsi"/>
          <w:sz w:val="24"/>
          <w:szCs w:val="24"/>
        </w:rPr>
      </w:pPr>
      <w:r w:rsidRPr="00B205D7">
        <w:rPr>
          <w:sz w:val="24"/>
          <w:szCs w:val="24"/>
          <w:u w:val="single"/>
        </w:rPr>
        <w:t xml:space="preserve">It is More Likely </w:t>
      </w:r>
      <w:proofErr w:type="gramStart"/>
      <w:r w:rsidRPr="00B205D7">
        <w:rPr>
          <w:sz w:val="24"/>
          <w:szCs w:val="24"/>
          <w:u w:val="single"/>
        </w:rPr>
        <w:t>Than</w:t>
      </w:r>
      <w:proofErr w:type="gramEnd"/>
      <w:r w:rsidRPr="00B205D7">
        <w:rPr>
          <w:sz w:val="24"/>
          <w:szCs w:val="24"/>
          <w:u w:val="single"/>
        </w:rPr>
        <w:t xml:space="preserve"> Not that Ms. </w:t>
      </w:r>
      <w:r w:rsidR="00706EEB">
        <w:rPr>
          <w:sz w:val="24"/>
          <w:szCs w:val="24"/>
          <w:u w:val="single"/>
        </w:rPr>
        <w:t>C-T-</w:t>
      </w:r>
      <w:r w:rsidRPr="00B205D7">
        <w:rPr>
          <w:sz w:val="24"/>
          <w:szCs w:val="24"/>
          <w:u w:val="single"/>
        </w:rPr>
        <w:t xml:space="preserve"> Will be Tortured if Removed to Mexico. </w:t>
      </w:r>
    </w:p>
    <w:p w:rsidRPr="00B205D7" w:rsidR="003123D6" w:rsidP="00CD235C" w:rsidRDefault="003123D6" w14:paraId="4A6D2E41" w14:textId="77777777">
      <w:pPr>
        <w:pStyle w:val="ListParagraph"/>
        <w:widowControl w:val="0"/>
        <w:ind w:left="1440"/>
        <w:rPr>
          <w:rFonts w:eastAsia="Times New Roman"/>
          <w:bCs/>
          <w:color w:val="333333"/>
          <w:sz w:val="24"/>
          <w:szCs w:val="24"/>
          <w:shd w:val="clear" w:color="auto" w:fill="FFFFFF"/>
        </w:rPr>
      </w:pPr>
    </w:p>
    <w:p w:rsidRPr="00B205D7" w:rsidR="003123D6" w:rsidP="003123D6" w:rsidRDefault="003123D6" w14:paraId="599448E1" w14:textId="77777777">
      <w:pPr>
        <w:spacing w:line="480" w:lineRule="auto"/>
        <w:ind w:firstLine="720"/>
        <w:rPr>
          <w:rFonts w:eastAsia="Times New Roman"/>
          <w:bCs/>
          <w:color w:val="333333"/>
          <w:shd w:val="clear" w:color="auto" w:fill="FFFFFF"/>
        </w:rPr>
      </w:pPr>
      <w:r w:rsidRPr="00B205D7">
        <w:rPr>
          <w:rFonts w:eastAsia="Times New Roman"/>
          <w:bCs/>
          <w:color w:val="333333"/>
          <w:shd w:val="clear" w:color="auto" w:fill="FFFFFF"/>
        </w:rPr>
        <w:t xml:space="preserve">In assessing whether it is more likely than not that an applicant would be tortured in the proposed country of removal, all evidence relevant to the possibility of future torture shall be </w:t>
      </w:r>
      <w:r w:rsidRPr="00B205D7">
        <w:rPr>
          <w:rFonts w:eastAsia="Times New Roman"/>
          <w:bCs/>
          <w:color w:val="333333"/>
          <w:shd w:val="clear" w:color="auto" w:fill="FFFFFF"/>
        </w:rPr>
        <w:lastRenderedPageBreak/>
        <w:t>considered, including, but not limited to: (1) Evidence of past torture inflicted upon the applicant; (2) Evidence that the applicant could relocate to a part of the country of removal where he or she is not likely to be tortured; (3) Evidence of gross, flagrant or mass violations of human rights within the country of removal, where applicable; and (4) Other relevant information regarding conditions in the country of removal.</w:t>
      </w:r>
      <w:r w:rsidRPr="00B205D7">
        <w:rPr>
          <w:rStyle w:val="FootnoteReference"/>
          <w:rFonts w:eastAsia="Times New Roman"/>
          <w:bCs/>
          <w:color w:val="333333"/>
          <w:shd w:val="clear" w:color="auto" w:fill="FFFFFF"/>
        </w:rPr>
        <w:footnoteReference w:id="79"/>
      </w:r>
      <w:r w:rsidRPr="00B205D7">
        <w:rPr>
          <w:rFonts w:eastAsia="Times New Roman"/>
          <w:bCs/>
          <w:color w:val="333333"/>
          <w:shd w:val="clear" w:color="auto" w:fill="FFFFFF"/>
        </w:rPr>
        <w:t xml:space="preserve"> </w:t>
      </w:r>
    </w:p>
    <w:p w:rsidRPr="00B205D7" w:rsidR="003123D6" w:rsidP="003123D6" w:rsidRDefault="003123D6" w14:paraId="28BCD4B4" w14:textId="41A8C3AC">
      <w:pPr>
        <w:spacing w:line="480" w:lineRule="auto"/>
        <w:rPr>
          <w:rFonts w:eastAsia="Times New Roman"/>
        </w:rPr>
      </w:pPr>
      <w:r w:rsidRPr="00B205D7">
        <w:rPr>
          <w:rFonts w:eastAsia="Times New Roman"/>
          <w:bCs/>
          <w:color w:val="333333"/>
          <w:shd w:val="clear" w:color="auto" w:fill="FFFFFF"/>
        </w:rPr>
        <w:tab/>
      </w:r>
      <w:r w:rsidR="00706EEB">
        <w:rPr>
          <w:rFonts w:eastAsia="Times New Roman"/>
          <w:bCs/>
          <w:color w:val="333333"/>
          <w:shd w:val="clear" w:color="auto" w:fill="FFFFFF"/>
        </w:rPr>
        <w:t>A-</w:t>
      </w:r>
      <w:r w:rsidRPr="00B205D7" w:rsidR="00786128">
        <w:rPr>
          <w:rFonts w:eastAsia="Times New Roman"/>
          <w:bCs/>
          <w:color w:val="333333"/>
          <w:shd w:val="clear" w:color="auto" w:fill="FFFFFF"/>
        </w:rPr>
        <w:t xml:space="preserve"> clearly experienced and fears treatment that rises to the level of torture. </w:t>
      </w:r>
      <w:r w:rsidRPr="00B205D7" w:rsidR="00DA281D">
        <w:rPr>
          <w:rFonts w:eastAsia="Times New Roman"/>
        </w:rPr>
        <w:t xml:space="preserve">In </w:t>
      </w:r>
      <w:proofErr w:type="spellStart"/>
      <w:r w:rsidRPr="00B205D7" w:rsidR="00DA281D">
        <w:rPr>
          <w:rFonts w:eastAsia="Times New Roman"/>
          <w:i/>
        </w:rPr>
        <w:t>Zubeda</w:t>
      </w:r>
      <w:proofErr w:type="spellEnd"/>
      <w:r w:rsidRPr="00B205D7" w:rsidR="00DA281D">
        <w:rPr>
          <w:rFonts w:eastAsia="Times New Roman"/>
          <w:i/>
        </w:rPr>
        <w:t xml:space="preserve"> vs. Ashcroft</w:t>
      </w:r>
      <w:r w:rsidRPr="00B205D7" w:rsidR="00DA281D">
        <w:rPr>
          <w:rFonts w:eastAsia="Times New Roman"/>
        </w:rPr>
        <w:t xml:space="preserve">, the Third Circuit Court of Appeals </w:t>
      </w:r>
      <w:r w:rsidRPr="00B205D7" w:rsidR="00F279E9">
        <w:rPr>
          <w:rFonts w:eastAsia="Times New Roman"/>
        </w:rPr>
        <w:t>recognized that rape constitute</w:t>
      </w:r>
      <w:r w:rsidRPr="00B205D7" w:rsidR="00786128">
        <w:rPr>
          <w:rFonts w:eastAsia="Times New Roman"/>
        </w:rPr>
        <w:t>s</w:t>
      </w:r>
      <w:r w:rsidRPr="00B205D7" w:rsidR="00F279E9">
        <w:rPr>
          <w:rFonts w:eastAsia="Times New Roman"/>
        </w:rPr>
        <w:t xml:space="preserve"> torture, </w:t>
      </w:r>
      <w:r w:rsidRPr="00B205D7" w:rsidR="00DE7FB3">
        <w:rPr>
          <w:rFonts w:eastAsia="Times New Roman"/>
        </w:rPr>
        <w:t xml:space="preserve">characterizing rape </w:t>
      </w:r>
      <w:r w:rsidR="004C23F9">
        <w:rPr>
          <w:rFonts w:eastAsia="Times New Roman"/>
        </w:rPr>
        <w:t xml:space="preserve">as </w:t>
      </w:r>
      <w:r w:rsidRPr="00B205D7" w:rsidR="00DE7FB3">
        <w:rPr>
          <w:rFonts w:eastAsia="Times New Roman"/>
        </w:rPr>
        <w:t>an egregious violation of humanity.</w:t>
      </w:r>
      <w:r w:rsidRPr="00B205D7" w:rsidR="00356D9D">
        <w:rPr>
          <w:rStyle w:val="FootnoteReference"/>
          <w:rFonts w:eastAsia="Times New Roman"/>
        </w:rPr>
        <w:footnoteReference w:id="80"/>
      </w:r>
      <w:r w:rsidRPr="00B205D7" w:rsidR="00DE7FB3">
        <w:rPr>
          <w:rFonts w:eastAsia="Times New Roman"/>
        </w:rPr>
        <w:t xml:space="preserve"> </w:t>
      </w:r>
      <w:r w:rsidRPr="00B205D7">
        <w:rPr>
          <w:rFonts w:eastAsia="Times New Roman"/>
          <w:bCs/>
          <w:color w:val="333333"/>
          <w:shd w:val="clear" w:color="auto" w:fill="FFFFFF"/>
        </w:rPr>
        <w:t xml:space="preserve">Here, </w:t>
      </w:r>
      <w:r w:rsidR="00706EEB">
        <w:rPr>
          <w:rFonts w:eastAsia="Times New Roman"/>
          <w:bCs/>
          <w:color w:val="333333"/>
          <w:shd w:val="clear" w:color="auto" w:fill="FFFFFF"/>
        </w:rPr>
        <w:t>M-</w:t>
      </w:r>
      <w:r w:rsidRPr="00B205D7" w:rsidR="00D252DA">
        <w:rPr>
          <w:rFonts w:eastAsia="Times New Roman"/>
          <w:bCs/>
          <w:color w:val="333333"/>
          <w:shd w:val="clear" w:color="auto" w:fill="FFFFFF"/>
        </w:rPr>
        <w:t xml:space="preserve"> raped </w:t>
      </w:r>
      <w:r w:rsidR="00706EEB">
        <w:rPr>
          <w:rFonts w:eastAsia="Times New Roman"/>
          <w:bCs/>
          <w:color w:val="333333"/>
          <w:shd w:val="clear" w:color="auto" w:fill="FFFFFF"/>
        </w:rPr>
        <w:t>A-</w:t>
      </w:r>
      <w:r w:rsidRPr="00B205D7" w:rsidR="00D252DA">
        <w:rPr>
          <w:rFonts w:eastAsia="Times New Roman"/>
          <w:bCs/>
          <w:color w:val="333333"/>
          <w:shd w:val="clear" w:color="auto" w:fill="FFFFFF"/>
        </w:rPr>
        <w:t xml:space="preserve"> several times throughout the course of the abusive relationship and threatened her with weapons that were in the home.</w:t>
      </w:r>
      <w:r w:rsidRPr="00B205D7" w:rsidR="00D252DA">
        <w:rPr>
          <w:rStyle w:val="FootnoteReference"/>
          <w:rFonts w:eastAsia="Times New Roman"/>
          <w:bCs/>
          <w:color w:val="333333"/>
          <w:shd w:val="clear" w:color="auto" w:fill="FFFFFF"/>
        </w:rPr>
        <w:footnoteReference w:id="81"/>
      </w:r>
      <w:r w:rsidRPr="00B205D7" w:rsidR="00D252DA">
        <w:rPr>
          <w:rFonts w:eastAsia="Times New Roman"/>
          <w:bCs/>
          <w:color w:val="333333"/>
          <w:shd w:val="clear" w:color="auto" w:fill="FFFFFF"/>
        </w:rPr>
        <w:t xml:space="preserve"> Moreover, </w:t>
      </w:r>
      <w:r w:rsidR="00706EEB">
        <w:rPr>
          <w:rFonts w:eastAsia="Times New Roman"/>
          <w:bCs/>
          <w:color w:val="333333"/>
          <w:shd w:val="clear" w:color="auto" w:fill="FFFFFF"/>
        </w:rPr>
        <w:t>M-</w:t>
      </w:r>
      <w:r w:rsidRPr="00B205D7">
        <w:rPr>
          <w:rFonts w:eastAsia="Times New Roman"/>
          <w:bCs/>
          <w:color w:val="333333"/>
          <w:shd w:val="clear" w:color="auto" w:fill="FFFFFF"/>
        </w:rPr>
        <w:t xml:space="preserve"> would beat </w:t>
      </w:r>
      <w:r w:rsidR="00706EEB">
        <w:rPr>
          <w:rFonts w:eastAsia="Times New Roman"/>
          <w:bCs/>
          <w:color w:val="333333"/>
          <w:shd w:val="clear" w:color="auto" w:fill="FFFFFF"/>
        </w:rPr>
        <w:t>A-</w:t>
      </w:r>
      <w:r w:rsidRPr="00B205D7">
        <w:rPr>
          <w:rFonts w:eastAsia="Times New Roman"/>
          <w:bCs/>
          <w:color w:val="333333"/>
          <w:shd w:val="clear" w:color="auto" w:fill="FFFFFF"/>
        </w:rPr>
        <w:t xml:space="preserve"> four to five times a month.</w:t>
      </w:r>
      <w:r w:rsidRPr="00B205D7">
        <w:rPr>
          <w:rStyle w:val="FootnoteReference"/>
          <w:rFonts w:eastAsia="Times New Roman"/>
          <w:bCs/>
          <w:color w:val="333333"/>
          <w:shd w:val="clear" w:color="auto" w:fill="FFFFFF"/>
        </w:rPr>
        <w:footnoteReference w:id="82"/>
      </w:r>
      <w:r w:rsidRPr="00B205D7">
        <w:rPr>
          <w:rFonts w:eastAsia="Times New Roman"/>
          <w:bCs/>
          <w:color w:val="333333"/>
          <w:shd w:val="clear" w:color="auto" w:fill="FFFFFF"/>
        </w:rPr>
        <w:t xml:space="preserve"> In August 2008, </w:t>
      </w:r>
      <w:r w:rsidRPr="00B205D7">
        <w:rPr>
          <w:rFonts w:eastAsia="Times New Roman"/>
        </w:rPr>
        <w:t>he beat her so severely that he caused her to miscarry her unborn child.</w:t>
      </w:r>
      <w:r w:rsidRPr="00B205D7">
        <w:rPr>
          <w:rStyle w:val="FootnoteReference"/>
          <w:rFonts w:eastAsia="Times New Roman"/>
        </w:rPr>
        <w:footnoteReference w:id="83"/>
      </w:r>
      <w:r w:rsidRPr="00B205D7">
        <w:rPr>
          <w:rFonts w:eastAsia="Times New Roman"/>
        </w:rPr>
        <w:t xml:space="preserve"> The beating also led to painful lesions and bleeding due to blows to the abdomen.</w:t>
      </w:r>
      <w:r w:rsidRPr="00B205D7">
        <w:rPr>
          <w:rStyle w:val="FootnoteReference"/>
          <w:rFonts w:eastAsia="Times New Roman"/>
        </w:rPr>
        <w:footnoteReference w:id="84"/>
      </w:r>
      <w:r w:rsidRPr="00B205D7" w:rsidR="00D252DA">
        <w:rPr>
          <w:rFonts w:eastAsia="Times New Roman"/>
        </w:rPr>
        <w:t xml:space="preserve"> </w:t>
      </w:r>
    </w:p>
    <w:p w:rsidRPr="00B205D7" w:rsidR="003123D6" w:rsidP="003123D6" w:rsidRDefault="003123D6" w14:paraId="6F38C59E" w14:textId="1125F250">
      <w:pPr>
        <w:spacing w:line="480" w:lineRule="auto"/>
        <w:rPr>
          <w:rFonts w:eastAsia="Times New Roman"/>
        </w:rPr>
      </w:pPr>
      <w:r w:rsidRPr="00B205D7">
        <w:rPr>
          <w:rFonts w:eastAsia="Times New Roman"/>
        </w:rPr>
        <w:tab/>
      </w:r>
      <w:r w:rsidR="00706EEB">
        <w:rPr>
          <w:rFonts w:eastAsia="Times New Roman"/>
        </w:rPr>
        <w:t>A-</w:t>
      </w:r>
      <w:r w:rsidRPr="00B205D7">
        <w:rPr>
          <w:rFonts w:eastAsia="Times New Roman"/>
        </w:rPr>
        <w:t xml:space="preserve"> would not be able to relocate within Mexico, as she</w:t>
      </w:r>
      <w:r w:rsidR="00C47D73">
        <w:rPr>
          <w:rFonts w:eastAsia="Times New Roman"/>
        </w:rPr>
        <w:t xml:space="preserve"> has</w:t>
      </w:r>
      <w:r w:rsidRPr="00B205D7">
        <w:rPr>
          <w:rFonts w:eastAsia="Times New Roman"/>
        </w:rPr>
        <w:t xml:space="preserve"> already attempted to flee </w:t>
      </w:r>
      <w:r w:rsidR="00706EEB">
        <w:rPr>
          <w:rFonts w:eastAsia="Times New Roman"/>
        </w:rPr>
        <w:t>M-</w:t>
      </w:r>
      <w:r w:rsidRPr="00B205D7">
        <w:rPr>
          <w:rFonts w:eastAsia="Times New Roman"/>
        </w:rPr>
        <w:t xml:space="preserve"> by moving in with her sister Rocio in October 2008.</w:t>
      </w:r>
      <w:r w:rsidRPr="00B205D7">
        <w:rPr>
          <w:rStyle w:val="FootnoteReference"/>
          <w:rFonts w:eastAsia="Times New Roman"/>
        </w:rPr>
        <w:footnoteReference w:id="85"/>
      </w:r>
      <w:r w:rsidRPr="00B205D7">
        <w:rPr>
          <w:rFonts w:eastAsia="Times New Roman"/>
        </w:rPr>
        <w:t xml:space="preserve"> Rocio lives in </w:t>
      </w:r>
      <w:proofErr w:type="spellStart"/>
      <w:r w:rsidRPr="00B205D7">
        <w:rPr>
          <w:rFonts w:eastAsia="Times New Roman"/>
        </w:rPr>
        <w:t>Tecemac</w:t>
      </w:r>
      <w:proofErr w:type="spellEnd"/>
      <w:r w:rsidRPr="00B205D7">
        <w:rPr>
          <w:rFonts w:eastAsia="Times New Roman"/>
        </w:rPr>
        <w:t xml:space="preserve">, which is in another state and is six hours away from </w:t>
      </w:r>
      <w:r w:rsidR="00706EEB">
        <w:rPr>
          <w:rFonts w:eastAsia="Times New Roman"/>
        </w:rPr>
        <w:t>A-</w:t>
      </w:r>
      <w:r w:rsidRPr="00B205D7">
        <w:rPr>
          <w:rFonts w:eastAsia="Times New Roman"/>
        </w:rPr>
        <w:t xml:space="preserve">’s and </w:t>
      </w:r>
      <w:r w:rsidR="00706EEB">
        <w:rPr>
          <w:rFonts w:eastAsia="Times New Roman"/>
        </w:rPr>
        <w:t>M-</w:t>
      </w:r>
      <w:r w:rsidRPr="00B205D7">
        <w:rPr>
          <w:rFonts w:eastAsia="Times New Roman"/>
        </w:rPr>
        <w:t xml:space="preserve">’s home in </w:t>
      </w:r>
      <w:proofErr w:type="spellStart"/>
      <w:r w:rsidRPr="00B205D7">
        <w:rPr>
          <w:rFonts w:eastAsia="Times New Roman"/>
        </w:rPr>
        <w:t>Tepacuma</w:t>
      </w:r>
      <w:proofErr w:type="spellEnd"/>
      <w:r w:rsidRPr="00B205D7">
        <w:rPr>
          <w:rFonts w:eastAsia="Times New Roman"/>
        </w:rPr>
        <w:t>.</w:t>
      </w:r>
      <w:r w:rsidRPr="00B205D7">
        <w:rPr>
          <w:rStyle w:val="FootnoteReference"/>
          <w:rFonts w:eastAsia="Times New Roman"/>
        </w:rPr>
        <w:footnoteReference w:id="86"/>
      </w:r>
      <w:r w:rsidRPr="00B205D7">
        <w:rPr>
          <w:rFonts w:eastAsia="Times New Roman"/>
        </w:rPr>
        <w:t xml:space="preserve"> Additionally, </w:t>
      </w:r>
      <w:r w:rsidR="00C47D73">
        <w:rPr>
          <w:rFonts w:eastAsia="Times New Roman"/>
        </w:rPr>
        <w:t xml:space="preserve">although </w:t>
      </w:r>
      <w:r w:rsidR="00706EEB">
        <w:rPr>
          <w:rFonts w:eastAsia="Times New Roman"/>
        </w:rPr>
        <w:t>A-</w:t>
      </w:r>
      <w:r w:rsidRPr="00B205D7">
        <w:rPr>
          <w:rFonts w:eastAsia="Times New Roman"/>
        </w:rPr>
        <w:t xml:space="preserve"> did not inform anyone of her departure, </w:t>
      </w:r>
      <w:r w:rsidR="00706EEB">
        <w:rPr>
          <w:rFonts w:eastAsia="Times New Roman"/>
        </w:rPr>
        <w:t>M-</w:t>
      </w:r>
      <w:r w:rsidRPr="00B205D7">
        <w:rPr>
          <w:rFonts w:eastAsia="Times New Roman"/>
        </w:rPr>
        <w:t xml:space="preserve"> was </w:t>
      </w:r>
      <w:r w:rsidR="00C47D73">
        <w:rPr>
          <w:rFonts w:eastAsia="Times New Roman"/>
        </w:rPr>
        <w:t xml:space="preserve">nevertheless </w:t>
      </w:r>
      <w:r w:rsidRPr="00B205D7">
        <w:rPr>
          <w:rFonts w:eastAsia="Times New Roman"/>
        </w:rPr>
        <w:t>able to find her and threaten to kill her and harm her younger sister.</w:t>
      </w:r>
      <w:r w:rsidRPr="00B205D7">
        <w:rPr>
          <w:rStyle w:val="FootnoteReference"/>
          <w:rFonts w:eastAsia="Times New Roman"/>
        </w:rPr>
        <w:footnoteReference w:id="87"/>
      </w:r>
      <w:r w:rsidRPr="00B205D7">
        <w:rPr>
          <w:rFonts w:eastAsia="Times New Roman"/>
        </w:rPr>
        <w:t xml:space="preserve"> Moreover, while </w:t>
      </w:r>
      <w:r w:rsidR="00706EEB">
        <w:rPr>
          <w:rFonts w:eastAsia="Times New Roman"/>
        </w:rPr>
        <w:t>A-</w:t>
      </w:r>
      <w:r w:rsidRPr="00B205D7">
        <w:rPr>
          <w:rFonts w:eastAsia="Times New Roman"/>
        </w:rPr>
        <w:t xml:space="preserve"> was in the U.S in 2014, she received a phone call from </w:t>
      </w:r>
      <w:r w:rsidR="00706EEB">
        <w:rPr>
          <w:rFonts w:eastAsia="Times New Roman"/>
        </w:rPr>
        <w:t>M-</w:t>
      </w:r>
      <w:r w:rsidRPr="00B205D7">
        <w:rPr>
          <w:rFonts w:eastAsia="Times New Roman"/>
        </w:rPr>
        <w:t xml:space="preserve"> on her (U.S.) cell phone threatening to kill her if she ever </w:t>
      </w:r>
      <w:r w:rsidRPr="00B205D7">
        <w:rPr>
          <w:rFonts w:eastAsia="Times New Roman"/>
        </w:rPr>
        <w:lastRenderedPageBreak/>
        <w:t>came back to Mexico.</w:t>
      </w:r>
      <w:r w:rsidRPr="00B205D7">
        <w:rPr>
          <w:rStyle w:val="FootnoteReference"/>
          <w:rFonts w:eastAsia="Times New Roman"/>
        </w:rPr>
        <w:footnoteReference w:id="88"/>
      </w:r>
      <w:r w:rsidRPr="00B205D7">
        <w:rPr>
          <w:rFonts w:eastAsia="Times New Roman"/>
        </w:rPr>
        <w:t xml:space="preserve"> If removed to Mexico, </w:t>
      </w:r>
      <w:r w:rsidR="00706EEB">
        <w:rPr>
          <w:rFonts w:eastAsia="Times New Roman"/>
        </w:rPr>
        <w:t>A-</w:t>
      </w:r>
      <w:r w:rsidRPr="00B205D7">
        <w:rPr>
          <w:rFonts w:eastAsia="Times New Roman"/>
        </w:rPr>
        <w:t xml:space="preserve"> will not be safe from </w:t>
      </w:r>
      <w:r w:rsidR="00706EEB">
        <w:rPr>
          <w:rFonts w:eastAsia="Times New Roman"/>
        </w:rPr>
        <w:t>M-</w:t>
      </w:r>
      <w:r w:rsidRPr="00B205D7" w:rsidR="009175EC">
        <w:rPr>
          <w:rFonts w:eastAsia="Times New Roman"/>
        </w:rPr>
        <w:t>. He will be able to track her</w:t>
      </w:r>
      <w:r w:rsidRPr="00B205D7">
        <w:rPr>
          <w:rFonts w:eastAsia="Times New Roman"/>
        </w:rPr>
        <w:t xml:space="preserve"> down using his connections and his desire to kill </w:t>
      </w:r>
      <w:r w:rsidR="00706EEB">
        <w:rPr>
          <w:rFonts w:eastAsia="Times New Roman"/>
        </w:rPr>
        <w:t>A-</w:t>
      </w:r>
      <w:r w:rsidRPr="00B205D7">
        <w:rPr>
          <w:rFonts w:eastAsia="Times New Roman"/>
        </w:rPr>
        <w:t xml:space="preserve">. </w:t>
      </w:r>
    </w:p>
    <w:p w:rsidRPr="00B205D7" w:rsidR="003123D6" w:rsidP="003123D6" w:rsidRDefault="003123D6" w14:paraId="7002427F" w14:textId="05AEDFC8">
      <w:pPr>
        <w:spacing w:line="480" w:lineRule="auto"/>
        <w:rPr>
          <w:rFonts w:eastAsia="Times New Roman"/>
        </w:rPr>
      </w:pPr>
      <w:r w:rsidRPr="00B205D7">
        <w:rPr>
          <w:rFonts w:eastAsia="Times New Roman"/>
        </w:rPr>
        <w:tab/>
      </w:r>
      <w:r w:rsidRPr="00B205D7">
        <w:rPr>
          <w:rFonts w:eastAsia="Times New Roman"/>
        </w:rPr>
        <w:t>Country reports show a serious gender violence problem within Mexico with ineffective means of fixing it. These reports “are probative evidence and can, by themselves, provide sufficient proof to sustain an alien</w:t>
      </w:r>
      <w:r w:rsidRPr="00B205D7" w:rsidR="00217B72">
        <w:rPr>
          <w:rFonts w:eastAsia="Times New Roman"/>
        </w:rPr>
        <w:t>’</w:t>
      </w:r>
      <w:r w:rsidRPr="00B205D7">
        <w:rPr>
          <w:rFonts w:eastAsia="Times New Roman"/>
        </w:rPr>
        <w:t>s burden under the INA.”</w:t>
      </w:r>
      <w:r w:rsidRPr="00B205D7">
        <w:rPr>
          <w:rStyle w:val="FootnoteReference"/>
          <w:rFonts w:eastAsia="Times New Roman"/>
        </w:rPr>
        <w:footnoteReference w:id="89"/>
      </w:r>
      <w:r w:rsidRPr="00B205D7">
        <w:rPr>
          <w:rFonts w:eastAsia="Times New Roman"/>
        </w:rPr>
        <w:t xml:space="preserve"> </w:t>
      </w:r>
    </w:p>
    <w:p w:rsidRPr="00B205D7" w:rsidR="003123D6" w:rsidP="003123D6" w:rsidRDefault="003123D6" w14:paraId="21BDE4F8" w14:textId="015F8CC2">
      <w:pPr>
        <w:spacing w:line="480" w:lineRule="auto"/>
        <w:ind w:firstLine="720"/>
        <w:rPr>
          <w:rFonts w:eastAsia="Times New Roman"/>
        </w:rPr>
      </w:pPr>
      <w:r w:rsidRPr="00B205D7">
        <w:rPr>
          <w:rFonts w:eastAsia="Times New Roman"/>
        </w:rPr>
        <w:t xml:space="preserve">The </w:t>
      </w:r>
      <w:r w:rsidRPr="00B205D7">
        <w:t>2012 National Citizens</w:t>
      </w:r>
      <w:r w:rsidRPr="00B205D7" w:rsidR="00217B72">
        <w:t>’</w:t>
      </w:r>
      <w:r w:rsidRPr="00B205D7">
        <w:t xml:space="preserve"> Observatory on </w:t>
      </w:r>
      <w:proofErr w:type="spellStart"/>
      <w:r w:rsidRPr="00B205D7">
        <w:t>Femicide</w:t>
      </w:r>
      <w:proofErr w:type="spellEnd"/>
      <w:r w:rsidRPr="00B205D7">
        <w:t xml:space="preserve"> Report</w:t>
      </w:r>
      <w:r w:rsidRPr="00B205D7">
        <w:rPr>
          <w:rFonts w:eastAsia="Times New Roman"/>
        </w:rPr>
        <w:t xml:space="preserve"> reports that of the 1221 gender-related murders in just 13 states in Mexico, 51 percent of victims died from beatings, burnings, trauma, suffocation or puncture wounds, while 46 percent of women were killed by firearms.</w:t>
      </w:r>
      <w:r w:rsidRPr="00B205D7">
        <w:rPr>
          <w:rStyle w:val="FootnoteReference"/>
          <w:rFonts w:eastAsia="Times New Roman"/>
        </w:rPr>
        <w:footnoteReference w:id="90"/>
      </w:r>
      <w:r w:rsidRPr="00B205D7">
        <w:rPr>
          <w:rFonts w:eastAsia="Times New Roman"/>
        </w:rPr>
        <w:t xml:space="preserve">  Additionally, human rights defenders who advocate for measures to end gender violence are specifically targeted. The Nobel Women’s Initiative reports that half of female human rights defenders were targeted violently as a direct result of their work.</w:t>
      </w:r>
      <w:r w:rsidRPr="00B205D7">
        <w:rPr>
          <w:rStyle w:val="FootnoteReference"/>
          <w:rFonts w:eastAsia="Times New Roman"/>
        </w:rPr>
        <w:footnoteReference w:id="91"/>
      </w:r>
      <w:r w:rsidRPr="00B205D7">
        <w:rPr>
          <w:rFonts w:eastAsia="Times New Roman"/>
        </w:rPr>
        <w:t xml:space="preserve"> Government and security forces were responsible for 55 percent of these gendered and sexualized attacks.</w:t>
      </w:r>
      <w:r w:rsidRPr="00B205D7">
        <w:rPr>
          <w:rStyle w:val="FootnoteReference"/>
          <w:rFonts w:eastAsia="Times New Roman"/>
        </w:rPr>
        <w:footnoteReference w:id="92"/>
      </w:r>
      <w:r w:rsidRPr="00B205D7">
        <w:rPr>
          <w:rFonts w:eastAsia="Times New Roman"/>
        </w:rPr>
        <w:t xml:space="preserve"> For example, Susana Chavez, a poet and activist who popularized the phrase “Ni </w:t>
      </w:r>
      <w:proofErr w:type="spellStart"/>
      <w:r w:rsidRPr="00B205D7">
        <w:rPr>
          <w:rFonts w:eastAsia="Times New Roman"/>
        </w:rPr>
        <w:t>una</w:t>
      </w:r>
      <w:proofErr w:type="spellEnd"/>
      <w:r w:rsidRPr="00B205D7">
        <w:rPr>
          <w:rFonts w:eastAsia="Times New Roman"/>
        </w:rPr>
        <w:t xml:space="preserve"> </w:t>
      </w:r>
      <w:proofErr w:type="spellStart"/>
      <w:r w:rsidRPr="00B205D7">
        <w:rPr>
          <w:rFonts w:eastAsia="Times New Roman"/>
        </w:rPr>
        <w:t>muerta</w:t>
      </w:r>
      <w:proofErr w:type="spellEnd"/>
      <w:r w:rsidRPr="00B205D7">
        <w:rPr>
          <w:rFonts w:eastAsia="Times New Roman"/>
        </w:rPr>
        <w:t xml:space="preserve"> mas,” meaning “Not one more dead” regarding gender violence, was herself raped, strangled and mutilated.</w:t>
      </w:r>
      <w:r w:rsidRPr="00B205D7">
        <w:rPr>
          <w:rStyle w:val="FootnoteReference"/>
          <w:rFonts w:eastAsia="Times New Roman"/>
        </w:rPr>
        <w:footnoteReference w:id="93"/>
      </w:r>
    </w:p>
    <w:p w:rsidRPr="00B205D7" w:rsidR="003123D6" w:rsidP="0071293B" w:rsidRDefault="00217B72" w14:paraId="0D05C80D" w14:textId="1E1D468B">
      <w:pPr>
        <w:widowControl w:val="0"/>
        <w:spacing w:line="480" w:lineRule="auto"/>
        <w:ind w:firstLine="720"/>
        <w:rPr>
          <w:rFonts w:eastAsia="Times New Roman"/>
        </w:rPr>
      </w:pPr>
      <w:r w:rsidRPr="00B205D7">
        <w:rPr>
          <w:rFonts w:eastAsia="Times New Roman"/>
        </w:rPr>
        <w:t>Record evidence clearly</w:t>
      </w:r>
      <w:r w:rsidRPr="00B205D7" w:rsidR="003123D6">
        <w:rPr>
          <w:rFonts w:eastAsia="Times New Roman"/>
        </w:rPr>
        <w:t xml:space="preserve"> shows that </w:t>
      </w:r>
      <w:r w:rsidR="00706EEB">
        <w:rPr>
          <w:rFonts w:eastAsia="Times New Roman"/>
        </w:rPr>
        <w:t>A-</w:t>
      </w:r>
      <w:r w:rsidRPr="00B205D7" w:rsidR="003123D6">
        <w:rPr>
          <w:rFonts w:eastAsia="Times New Roman"/>
        </w:rPr>
        <w:t xml:space="preserve">, if removed to Mexico, will more likely than not be tortured. </w:t>
      </w:r>
    </w:p>
    <w:p w:rsidRPr="00B205D7" w:rsidR="003123D6" w:rsidP="0071293B" w:rsidRDefault="003123D6" w14:paraId="31D858EA" w14:textId="69AD4A13">
      <w:pPr>
        <w:pStyle w:val="ListParagraph"/>
        <w:widowControl w:val="0"/>
        <w:numPr>
          <w:ilvl w:val="1"/>
          <w:numId w:val="3"/>
        </w:numPr>
        <w:rPr>
          <w:rFonts w:eastAsiaTheme="minorHAnsi"/>
          <w:sz w:val="24"/>
          <w:szCs w:val="24"/>
        </w:rPr>
      </w:pPr>
      <w:r w:rsidRPr="00B205D7">
        <w:rPr>
          <w:sz w:val="24"/>
          <w:szCs w:val="24"/>
          <w:u w:val="single"/>
        </w:rPr>
        <w:t>T</w:t>
      </w:r>
      <w:r w:rsidRPr="00B205D7" w:rsidR="0071293B">
        <w:rPr>
          <w:sz w:val="24"/>
          <w:szCs w:val="24"/>
          <w:u w:val="single"/>
        </w:rPr>
        <w:t xml:space="preserve">he Government in Mexico </w:t>
      </w:r>
      <w:r w:rsidRPr="00B205D7" w:rsidR="00217B72">
        <w:rPr>
          <w:sz w:val="24"/>
          <w:szCs w:val="24"/>
          <w:u w:val="single"/>
        </w:rPr>
        <w:t xml:space="preserve">has Acquiesced and </w:t>
      </w:r>
      <w:r w:rsidRPr="00B205D7" w:rsidR="0071293B">
        <w:rPr>
          <w:sz w:val="24"/>
          <w:szCs w:val="24"/>
          <w:u w:val="single"/>
        </w:rPr>
        <w:t>will</w:t>
      </w:r>
      <w:r w:rsidRPr="00B205D7" w:rsidR="00217B72">
        <w:rPr>
          <w:sz w:val="24"/>
          <w:szCs w:val="24"/>
          <w:u w:val="single"/>
        </w:rPr>
        <w:t xml:space="preserve"> Continue to</w:t>
      </w:r>
      <w:r w:rsidRPr="00B205D7" w:rsidR="0071293B">
        <w:rPr>
          <w:sz w:val="24"/>
          <w:szCs w:val="24"/>
          <w:u w:val="single"/>
        </w:rPr>
        <w:t xml:space="preserve"> Acquiesce to the T</w:t>
      </w:r>
      <w:r w:rsidRPr="00B205D7">
        <w:rPr>
          <w:sz w:val="24"/>
          <w:szCs w:val="24"/>
          <w:u w:val="single"/>
        </w:rPr>
        <w:t xml:space="preserve">orture if Ms. </w:t>
      </w:r>
      <w:r w:rsidR="00706EEB">
        <w:rPr>
          <w:sz w:val="24"/>
          <w:szCs w:val="24"/>
          <w:u w:val="single"/>
        </w:rPr>
        <w:t>C-T-</w:t>
      </w:r>
      <w:r w:rsidRPr="00B205D7" w:rsidR="0071293B">
        <w:rPr>
          <w:sz w:val="24"/>
          <w:szCs w:val="24"/>
          <w:u w:val="single"/>
        </w:rPr>
        <w:t xml:space="preserve"> is R</w:t>
      </w:r>
      <w:r w:rsidRPr="00B205D7">
        <w:rPr>
          <w:sz w:val="24"/>
          <w:szCs w:val="24"/>
          <w:u w:val="single"/>
        </w:rPr>
        <w:t xml:space="preserve">emoved. </w:t>
      </w:r>
    </w:p>
    <w:p w:rsidRPr="00B205D7" w:rsidR="00217B72" w:rsidP="00F26580" w:rsidRDefault="00217B72" w14:paraId="2EF78F4B" w14:textId="77777777">
      <w:pPr>
        <w:pStyle w:val="ListParagraph"/>
        <w:widowControl w:val="0"/>
        <w:ind w:left="1440"/>
        <w:rPr>
          <w:rFonts w:eastAsiaTheme="minorHAnsi"/>
          <w:sz w:val="24"/>
          <w:szCs w:val="24"/>
        </w:rPr>
      </w:pPr>
    </w:p>
    <w:p w:rsidRPr="00B205D7" w:rsidR="003123D6" w:rsidP="002777BA" w:rsidRDefault="00217B72" w14:paraId="1AC7C049" w14:textId="3A29FD25">
      <w:pPr>
        <w:widowControl w:val="0"/>
        <w:spacing w:line="480" w:lineRule="auto"/>
        <w:ind w:firstLine="720"/>
        <w:rPr>
          <w:rFonts w:eastAsia="Times New Roman"/>
        </w:rPr>
      </w:pPr>
      <w:r w:rsidRPr="00B205D7">
        <w:rPr>
          <w:rFonts w:eastAsia="Times New Roman"/>
        </w:rPr>
        <w:t>In the Third Circuit, f</w:t>
      </w:r>
      <w:r w:rsidRPr="00B205D7" w:rsidR="003123D6">
        <w:rPr>
          <w:rFonts w:eastAsia="Times New Roman"/>
        </w:rPr>
        <w:t xml:space="preserve">or purposes of CAT claims, acquiescence to torture requires only </w:t>
      </w:r>
      <w:r w:rsidRPr="00B205D7" w:rsidR="003123D6">
        <w:rPr>
          <w:rFonts w:eastAsia="Times New Roman"/>
        </w:rPr>
        <w:lastRenderedPageBreak/>
        <w:t>that government officials remain “willfully blind” to torturous conduct.</w:t>
      </w:r>
      <w:r w:rsidRPr="00B205D7" w:rsidR="003123D6">
        <w:rPr>
          <w:rStyle w:val="FootnoteReference"/>
          <w:rFonts w:eastAsia="Times New Roman"/>
        </w:rPr>
        <w:footnoteReference w:id="94"/>
      </w:r>
      <w:r w:rsidRPr="00B205D7" w:rsidR="003123D6">
        <w:rPr>
          <w:rFonts w:eastAsia="Times New Roman"/>
        </w:rPr>
        <w:t xml:space="preserve"> While government participation in torture certainly suffices to establish acquiescence, it is not necessary.</w:t>
      </w:r>
      <w:r w:rsidRPr="00B205D7" w:rsidR="003123D6">
        <w:rPr>
          <w:rStyle w:val="FootnoteReference"/>
          <w:rFonts w:eastAsia="Times New Roman"/>
        </w:rPr>
        <w:footnoteReference w:id="95"/>
      </w:r>
      <w:r w:rsidRPr="00B205D7" w:rsidR="003123D6">
        <w:rPr>
          <w:rFonts w:eastAsia="Times New Roman"/>
        </w:rPr>
        <w:t xml:space="preserve"> Evidence that officials turn a blind eye to certain groups</w:t>
      </w:r>
      <w:r w:rsidRPr="00B205D7">
        <w:rPr>
          <w:rFonts w:eastAsia="Times New Roman"/>
        </w:rPr>
        <w:t>’</w:t>
      </w:r>
      <w:r w:rsidRPr="00B205D7" w:rsidR="003123D6">
        <w:rPr>
          <w:rFonts w:eastAsia="Times New Roman"/>
        </w:rPr>
        <w:t xml:space="preserve"> torturous conduct is no less probative of government acquiescence.</w:t>
      </w:r>
      <w:r w:rsidRPr="00B205D7" w:rsidR="003123D6">
        <w:rPr>
          <w:rStyle w:val="FootnoteReference"/>
          <w:rFonts w:eastAsia="Times New Roman"/>
        </w:rPr>
        <w:footnoteReference w:id="96"/>
      </w:r>
      <w:r w:rsidRPr="00B205D7" w:rsidR="003123D6">
        <w:rPr>
          <w:rFonts w:eastAsia="Times New Roman"/>
        </w:rPr>
        <w:t xml:space="preserve"> Moreover, circumstantial evidence may establish acquiescence even when the “government has an official policy or is engaged in a campaign of opposition against the entity the applicant fears.”</w:t>
      </w:r>
      <w:r w:rsidRPr="00B205D7" w:rsidR="003123D6">
        <w:rPr>
          <w:rStyle w:val="FootnoteReference"/>
          <w:rFonts w:eastAsia="Times New Roman"/>
        </w:rPr>
        <w:footnoteReference w:id="97"/>
      </w:r>
    </w:p>
    <w:p w:rsidRPr="00B205D7" w:rsidR="003123D6" w:rsidP="003123D6" w:rsidRDefault="003123D6" w14:paraId="7C286797" w14:textId="257D66C6">
      <w:pPr>
        <w:spacing w:line="480" w:lineRule="auto"/>
        <w:ind w:firstLine="720"/>
      </w:pPr>
      <w:r w:rsidRPr="00B205D7">
        <w:rPr>
          <w:rFonts w:eastAsia="Times New Roman"/>
        </w:rPr>
        <w:t xml:space="preserve">In </w:t>
      </w:r>
      <w:proofErr w:type="spellStart"/>
      <w:r w:rsidRPr="00B205D7">
        <w:rPr>
          <w:i/>
        </w:rPr>
        <w:t>Myrie</w:t>
      </w:r>
      <w:proofErr w:type="spellEnd"/>
      <w:r w:rsidRPr="00B205D7">
        <w:rPr>
          <w:i/>
        </w:rPr>
        <w:t xml:space="preserve"> v. Atty. Gen. U.S</w:t>
      </w:r>
      <w:r w:rsidRPr="00B205D7">
        <w:t xml:space="preserve">, an applicant feared returning to Panama due to MS-13, a </w:t>
      </w:r>
      <w:r w:rsidRPr="00B205D7" w:rsidR="004D6247">
        <w:t xml:space="preserve">notorious </w:t>
      </w:r>
      <w:r w:rsidRPr="00B205D7">
        <w:t>gang that killed two of his brothers.</w:t>
      </w:r>
      <w:r w:rsidRPr="00B205D7">
        <w:rPr>
          <w:rStyle w:val="FootnoteReference"/>
        </w:rPr>
        <w:footnoteReference w:id="98"/>
      </w:r>
      <w:r w:rsidRPr="00B205D7">
        <w:t xml:space="preserve"> The BIA denied his CAT claim, citing to the IJ</w:t>
      </w:r>
      <w:r w:rsidRPr="00B205D7" w:rsidR="00217B72">
        <w:t>’</w:t>
      </w:r>
      <w:r w:rsidRPr="00B205D7">
        <w:t xml:space="preserve">s findings that </w:t>
      </w:r>
      <w:r w:rsidRPr="00B205D7" w:rsidR="00217B72">
        <w:t>“</w:t>
      </w:r>
      <w:r w:rsidRPr="00B205D7">
        <w:t xml:space="preserve">Panama </w:t>
      </w:r>
      <w:r w:rsidRPr="00B205D7" w:rsidR="00217B72">
        <w:t>‘</w:t>
      </w:r>
      <w:r w:rsidRPr="00B205D7">
        <w:t>actively engage[s]</w:t>
      </w:r>
      <w:r w:rsidRPr="00B205D7" w:rsidR="00217B72">
        <w:t>’</w:t>
      </w:r>
      <w:r w:rsidRPr="00B205D7">
        <w:t xml:space="preserve"> against criminal gangs and combats crime.</w:t>
      </w:r>
      <w:r w:rsidRPr="00B205D7" w:rsidR="00217B72">
        <w:t>”</w:t>
      </w:r>
      <w:r w:rsidRPr="00B205D7">
        <w:rPr>
          <w:rStyle w:val="FootnoteReference"/>
        </w:rPr>
        <w:footnoteReference w:id="99"/>
      </w:r>
      <w:r w:rsidRPr="00B205D7">
        <w:t xml:space="preserve"> However, the </w:t>
      </w:r>
      <w:r w:rsidRPr="00B205D7" w:rsidR="00217B72">
        <w:t>T</w:t>
      </w:r>
      <w:r w:rsidRPr="00B205D7">
        <w:t xml:space="preserve">hird </w:t>
      </w:r>
      <w:r w:rsidRPr="00B205D7" w:rsidR="00217B72">
        <w:t>C</w:t>
      </w:r>
      <w:r w:rsidRPr="00B205D7">
        <w:t xml:space="preserve">ircuit </w:t>
      </w:r>
      <w:r w:rsidRPr="00B205D7" w:rsidR="00217B72">
        <w:t>C</w:t>
      </w:r>
      <w:r w:rsidRPr="00B205D7">
        <w:t>ourt</w:t>
      </w:r>
      <w:r w:rsidRPr="00B205D7" w:rsidR="00217B72">
        <w:t xml:space="preserve"> of Appeals</w:t>
      </w:r>
      <w:r w:rsidRPr="00B205D7">
        <w:t xml:space="preserve"> remanded, holding that a government actively engaging against crime does not preclude an applicant from establishing government acquiescence because </w:t>
      </w:r>
      <w:r w:rsidRPr="00B205D7" w:rsidR="00217B72">
        <w:t>“</w:t>
      </w:r>
      <w:r w:rsidRPr="00B205D7">
        <w:t>nowhere do the regulations require actual knowledge of specific torturous acts against the applicant.</w:t>
      </w:r>
      <w:r w:rsidRPr="00B205D7" w:rsidR="00217B72">
        <w:t>”</w:t>
      </w:r>
      <w:r w:rsidRPr="00B205D7">
        <w:rPr>
          <w:rStyle w:val="FootnoteReference"/>
        </w:rPr>
        <w:footnoteReference w:id="100"/>
      </w:r>
      <w:r w:rsidRPr="00B205D7">
        <w:t xml:space="preserve"> Additionally, the court held the BIA erred in confirming the IJ</w:t>
      </w:r>
      <w:r w:rsidRPr="00B205D7" w:rsidR="00217B72">
        <w:t>’</w:t>
      </w:r>
      <w:r w:rsidRPr="00B205D7">
        <w:t xml:space="preserve">s findings </w:t>
      </w:r>
      <w:r w:rsidRPr="00B205D7" w:rsidR="00BD5117">
        <w:t>because</w:t>
      </w:r>
      <w:r w:rsidRPr="00B205D7">
        <w:t xml:space="preserve"> the IJ did not take into account certain circumstantial evidence, such as live </w:t>
      </w:r>
      <w:r w:rsidRPr="00B205D7">
        <w:lastRenderedPageBreak/>
        <w:t xml:space="preserve">testimony, sworn letters attesting that the Panamanian government had not taken steps to protect him or his family, and an affidavit from his former girlfriend. </w:t>
      </w:r>
      <w:r w:rsidRPr="00B205D7">
        <w:rPr>
          <w:rStyle w:val="FootnoteReference"/>
        </w:rPr>
        <w:footnoteReference w:id="101"/>
      </w:r>
      <w:r w:rsidRPr="00B205D7">
        <w:t xml:space="preserve"> </w:t>
      </w:r>
    </w:p>
    <w:p w:rsidRPr="00B205D7" w:rsidR="003123D6" w:rsidP="003123D6" w:rsidRDefault="003123D6" w14:paraId="351AF91A" w14:textId="7DEC1532">
      <w:pPr>
        <w:spacing w:line="480" w:lineRule="auto"/>
        <w:ind w:firstLine="720"/>
        <w:rPr>
          <w:rFonts w:eastAsia="Times New Roman"/>
        </w:rPr>
      </w:pPr>
      <w:r w:rsidRPr="00B205D7">
        <w:t xml:space="preserve">Here, while the </w:t>
      </w:r>
      <w:r w:rsidRPr="00B205D7" w:rsidR="00217B72">
        <w:t>T</w:t>
      </w:r>
      <w:r w:rsidRPr="00B205D7">
        <w:t xml:space="preserve">hird </w:t>
      </w:r>
      <w:r w:rsidRPr="00B205D7" w:rsidR="00217B72">
        <w:t>C</w:t>
      </w:r>
      <w:r w:rsidRPr="00B205D7">
        <w:t xml:space="preserve">ircuit </w:t>
      </w:r>
      <w:r w:rsidRPr="00B205D7" w:rsidR="00217B72">
        <w:t xml:space="preserve">Court of Appeals </w:t>
      </w:r>
      <w:r w:rsidRPr="00B205D7">
        <w:t>has held that actual knowledge is not required, the</w:t>
      </w:r>
      <w:r w:rsidR="00C47D73">
        <w:t xml:space="preserve"> Mexican</w:t>
      </w:r>
      <w:r w:rsidRPr="00B205D7">
        <w:t xml:space="preserve"> government clearly knew about </w:t>
      </w:r>
      <w:r w:rsidR="00706EEB">
        <w:t>M-</w:t>
      </w:r>
      <w:r w:rsidRPr="00B205D7" w:rsidR="00217B72">
        <w:t>’</w:t>
      </w:r>
      <w:r w:rsidRPr="00B205D7">
        <w:t>s abuse. At the public function pertaining to her job</w:t>
      </w:r>
      <w:r w:rsidRPr="00B205D7" w:rsidR="00217B72">
        <w:t xml:space="preserve"> within the government</w:t>
      </w:r>
      <w:r w:rsidRPr="00B205D7">
        <w:t xml:space="preserve">, </w:t>
      </w:r>
      <w:r w:rsidR="00706EEB">
        <w:t>A-</w:t>
      </w:r>
      <w:r w:rsidRPr="00B205D7">
        <w:t xml:space="preserve"> was struck by </w:t>
      </w:r>
      <w:r w:rsidR="00706EEB">
        <w:rPr>
          <w:rFonts w:eastAsia="Times New Roman"/>
        </w:rPr>
        <w:t>M-</w:t>
      </w:r>
      <w:r w:rsidRPr="00B205D7">
        <w:rPr>
          <w:rFonts w:eastAsia="Times New Roman"/>
        </w:rPr>
        <w:t xml:space="preserve"> in front of her co-workers and other members of the department.</w:t>
      </w:r>
      <w:r w:rsidRPr="00B205D7">
        <w:rPr>
          <w:rStyle w:val="FootnoteReference"/>
          <w:rFonts w:eastAsia="Times New Roman"/>
        </w:rPr>
        <w:footnoteReference w:id="102"/>
      </w:r>
      <w:r w:rsidRPr="00B205D7">
        <w:rPr>
          <w:rFonts w:eastAsia="Times New Roman"/>
        </w:rPr>
        <w:t xml:space="preserve"> She was fired for her bruises as she was a public figure in her community.</w:t>
      </w:r>
      <w:r w:rsidRPr="00B205D7">
        <w:rPr>
          <w:rStyle w:val="FootnoteReference"/>
          <w:rFonts w:eastAsia="Times New Roman"/>
        </w:rPr>
        <w:footnoteReference w:id="103"/>
      </w:r>
      <w:r w:rsidRPr="00B205D7">
        <w:rPr>
          <w:rFonts w:eastAsia="Times New Roman"/>
        </w:rPr>
        <w:t xml:space="preserve"> SRG had actual knowledge of the abuse and </w:t>
      </w:r>
      <w:r w:rsidRPr="00B205D7" w:rsidR="002C5F3B">
        <w:rPr>
          <w:rFonts w:eastAsia="Times New Roman"/>
        </w:rPr>
        <w:t xml:space="preserve">acquiesced to it or </w:t>
      </w:r>
      <w:r w:rsidRPr="00B205D7">
        <w:rPr>
          <w:rFonts w:eastAsia="Times New Roman"/>
        </w:rPr>
        <w:t xml:space="preserve">was at the very least “willfully blind” to it by </w:t>
      </w:r>
      <w:r w:rsidRPr="00B205D7" w:rsidR="00217B72">
        <w:rPr>
          <w:rFonts w:eastAsia="Times New Roman"/>
        </w:rPr>
        <w:t xml:space="preserve">failing to help her and, in fact, </w:t>
      </w:r>
      <w:r w:rsidRPr="00B205D7">
        <w:rPr>
          <w:rFonts w:eastAsia="Times New Roman"/>
        </w:rPr>
        <w:t>terminating her. Moreover, Judge Padilla did not mention Ro</w:t>
      </w:r>
      <w:r w:rsidRPr="00B205D7" w:rsidR="00700501">
        <w:rPr>
          <w:rFonts w:eastAsia="Times New Roman"/>
        </w:rPr>
        <w:t>c</w:t>
      </w:r>
      <w:r w:rsidRPr="00B205D7">
        <w:rPr>
          <w:rFonts w:eastAsia="Times New Roman"/>
        </w:rPr>
        <w:t>io’s affidavit nor the country reports submitted into evidence.</w:t>
      </w:r>
      <w:r w:rsidRPr="00B205D7">
        <w:rPr>
          <w:rStyle w:val="FootnoteReference"/>
          <w:rFonts w:eastAsia="Times New Roman"/>
        </w:rPr>
        <w:footnoteReference w:id="104"/>
      </w:r>
      <w:r w:rsidRPr="00B205D7">
        <w:rPr>
          <w:rFonts w:eastAsia="Times New Roman"/>
        </w:rPr>
        <w:t xml:space="preserve"> As the </w:t>
      </w:r>
      <w:proofErr w:type="spellStart"/>
      <w:r w:rsidRPr="00B205D7">
        <w:rPr>
          <w:rFonts w:eastAsia="Times New Roman"/>
          <w:i/>
        </w:rPr>
        <w:t>Myrie</w:t>
      </w:r>
      <w:proofErr w:type="spellEnd"/>
      <w:r w:rsidRPr="00B205D7">
        <w:rPr>
          <w:rFonts w:eastAsia="Times New Roman"/>
        </w:rPr>
        <w:t xml:space="preserve"> court held, “If [evidence] is to be disregarded, we need to know why.”</w:t>
      </w:r>
      <w:r w:rsidRPr="00B205D7">
        <w:rPr>
          <w:rStyle w:val="FootnoteReference"/>
          <w:rFonts w:eastAsia="Times New Roman"/>
        </w:rPr>
        <w:footnoteReference w:id="105"/>
      </w:r>
    </w:p>
    <w:p w:rsidRPr="00B205D7" w:rsidR="003123D6" w:rsidP="003123D6" w:rsidRDefault="003123D6" w14:paraId="66D32DFD" w14:textId="1A1D06ED">
      <w:pPr>
        <w:spacing w:line="480" w:lineRule="auto"/>
        <w:ind w:firstLine="720"/>
      </w:pPr>
      <w:r w:rsidRPr="00B205D7">
        <w:t xml:space="preserve">In </w:t>
      </w:r>
      <w:r w:rsidRPr="00B205D7">
        <w:rPr>
          <w:i/>
        </w:rPr>
        <w:t>Gomez-</w:t>
      </w:r>
      <w:proofErr w:type="spellStart"/>
      <w:r w:rsidRPr="00B205D7">
        <w:rPr>
          <w:i/>
        </w:rPr>
        <w:t>Zuluaga</w:t>
      </w:r>
      <w:proofErr w:type="spellEnd"/>
      <w:r w:rsidRPr="00B205D7">
        <w:rPr>
          <w:i/>
        </w:rPr>
        <w:t xml:space="preserve"> v. Atty. Gen. of U.S.</w:t>
      </w:r>
      <w:r w:rsidRPr="00B205D7">
        <w:t xml:space="preserve">, an applicant sought CAT relief because of </w:t>
      </w:r>
      <w:r w:rsidRPr="00B205D7" w:rsidR="002C5F3B">
        <w:t xml:space="preserve">a fear of torture at the hands of </w:t>
      </w:r>
      <w:r w:rsidRPr="00B205D7">
        <w:t>FARC, a terrorist organization that violently opposed the Columbian government.</w:t>
      </w:r>
      <w:r w:rsidRPr="00B205D7" w:rsidR="001C449A">
        <w:rPr>
          <w:rStyle w:val="FootnoteReference"/>
        </w:rPr>
        <w:footnoteReference w:id="106"/>
      </w:r>
      <w:r w:rsidRPr="00B205D7">
        <w:t xml:space="preserve"> FARC threatened the applicant from when she was just six-years-old until adulthood due to her relationships with a police officer and military officer. Government officials told her that there was nothing they could do to help her. The </w:t>
      </w:r>
      <w:r w:rsidRPr="00B205D7" w:rsidR="00217B72">
        <w:t>T</w:t>
      </w:r>
      <w:r w:rsidRPr="00B205D7">
        <w:t xml:space="preserve">hird </w:t>
      </w:r>
      <w:r w:rsidRPr="00B205D7" w:rsidR="00217B72">
        <w:t>C</w:t>
      </w:r>
      <w:r w:rsidRPr="00B205D7">
        <w:t xml:space="preserve">ircuit </w:t>
      </w:r>
      <w:r w:rsidRPr="00B205D7" w:rsidR="00217B72">
        <w:t>C</w:t>
      </w:r>
      <w:r w:rsidRPr="00B205D7">
        <w:t xml:space="preserve">ourt </w:t>
      </w:r>
      <w:r w:rsidRPr="00B205D7" w:rsidR="00217B72">
        <w:t xml:space="preserve">of Appeals </w:t>
      </w:r>
      <w:r w:rsidRPr="00B205D7">
        <w:t xml:space="preserve">held that </w:t>
      </w:r>
      <w:r w:rsidRPr="00B205D7" w:rsidR="00217B72">
        <w:t>“</w:t>
      </w:r>
      <w:r w:rsidRPr="00B205D7">
        <w:t>this may be circumstantial evidence that the Colombian government was willfully blind to such treatment and that to pursue official assistance would have been futile.</w:t>
      </w:r>
      <w:r w:rsidRPr="00B205D7" w:rsidR="00217B72">
        <w:t>”</w:t>
      </w:r>
      <w:r w:rsidRPr="00B205D7" w:rsidR="001C449A">
        <w:rPr>
          <w:rStyle w:val="FootnoteReference"/>
        </w:rPr>
        <w:footnoteReference w:id="107"/>
      </w:r>
      <w:r w:rsidRPr="00B205D7">
        <w:t xml:space="preserve"> Specifically, the court said that on remand the </w:t>
      </w:r>
      <w:r w:rsidRPr="00B205D7" w:rsidR="00217B72">
        <w:t>“</w:t>
      </w:r>
      <w:r w:rsidRPr="00B205D7">
        <w:t xml:space="preserve">BIA should consider country conditions that </w:t>
      </w:r>
      <w:r w:rsidRPr="00B205D7">
        <w:lastRenderedPageBreak/>
        <w:t>show Colombian authorities have been especially slow to end abuses against women or bring perpetrators to justice.</w:t>
      </w:r>
      <w:r w:rsidRPr="00B205D7" w:rsidR="00217B72">
        <w:t>”</w:t>
      </w:r>
      <w:r w:rsidRPr="00B205D7" w:rsidR="001C449A">
        <w:rPr>
          <w:rStyle w:val="FootnoteReference"/>
        </w:rPr>
        <w:footnoteReference w:id="108"/>
      </w:r>
    </w:p>
    <w:p w:rsidRPr="00B205D7" w:rsidR="00B500B8" w:rsidP="003123D6" w:rsidRDefault="003123D6" w14:paraId="71A00076" w14:textId="50B0EFCF">
      <w:pPr>
        <w:spacing w:line="480" w:lineRule="auto"/>
        <w:ind w:firstLine="720"/>
        <w:rPr>
          <w:rFonts w:eastAsia="Times New Roman"/>
        </w:rPr>
      </w:pPr>
      <w:r w:rsidRPr="00B205D7">
        <w:t xml:space="preserve">Here, </w:t>
      </w:r>
      <w:r w:rsidR="00706EEB">
        <w:t>A-</w:t>
      </w:r>
      <w:r w:rsidRPr="00B205D7">
        <w:t xml:space="preserve"> reported the abuse twice to the police, with both times ending in a lack of justice. The first time, </w:t>
      </w:r>
      <w:r w:rsidR="00C47D73">
        <w:rPr>
          <w:rFonts w:eastAsia="Times New Roman"/>
        </w:rPr>
        <w:t>the police</w:t>
      </w:r>
      <w:r w:rsidRPr="00B205D7">
        <w:rPr>
          <w:rFonts w:eastAsia="Times New Roman"/>
        </w:rPr>
        <w:t xml:space="preserve"> told </w:t>
      </w:r>
      <w:r w:rsidR="00C47D73">
        <w:rPr>
          <w:rFonts w:eastAsia="Times New Roman"/>
        </w:rPr>
        <w:t xml:space="preserve">her </w:t>
      </w:r>
      <w:r w:rsidRPr="00B205D7">
        <w:rPr>
          <w:rFonts w:eastAsia="Times New Roman"/>
        </w:rPr>
        <w:t>that they could not get involved because it was a problem between couples.</w:t>
      </w:r>
      <w:r w:rsidRPr="00B205D7" w:rsidR="001C449A">
        <w:rPr>
          <w:rStyle w:val="FootnoteReference"/>
          <w:rFonts w:eastAsia="Times New Roman"/>
        </w:rPr>
        <w:footnoteReference w:id="109"/>
      </w:r>
      <w:r w:rsidRPr="00B205D7">
        <w:rPr>
          <w:rFonts w:eastAsia="Times New Roman"/>
        </w:rPr>
        <w:t xml:space="preserve"> When </w:t>
      </w:r>
      <w:r w:rsidR="00706EEB">
        <w:rPr>
          <w:rFonts w:eastAsia="Times New Roman"/>
        </w:rPr>
        <w:t>M-</w:t>
      </w:r>
      <w:r w:rsidRPr="00B205D7">
        <w:rPr>
          <w:rFonts w:eastAsia="Times New Roman"/>
        </w:rPr>
        <w:t xml:space="preserve"> found out about the police complain</w:t>
      </w:r>
      <w:r w:rsidRPr="00B205D7" w:rsidR="00091D19">
        <w:rPr>
          <w:rFonts w:eastAsia="Times New Roman"/>
        </w:rPr>
        <w:t>t</w:t>
      </w:r>
      <w:r w:rsidRPr="00B205D7">
        <w:rPr>
          <w:rFonts w:eastAsia="Times New Roman"/>
        </w:rPr>
        <w:t>, he beat her again and threatened to kill her.</w:t>
      </w:r>
      <w:r w:rsidRPr="00B205D7" w:rsidR="001C449A">
        <w:rPr>
          <w:rStyle w:val="FootnoteReference"/>
          <w:rFonts w:eastAsia="Times New Roman"/>
        </w:rPr>
        <w:footnoteReference w:id="110"/>
      </w:r>
      <w:r w:rsidRPr="00B205D7">
        <w:rPr>
          <w:rFonts w:eastAsia="Times New Roman"/>
        </w:rPr>
        <w:t xml:space="preserve"> The second time, she reported the abuse that led to a miscarriage, but the police never investigated the incident after filing a report.</w:t>
      </w:r>
      <w:r w:rsidRPr="00B205D7" w:rsidR="001C449A">
        <w:rPr>
          <w:rStyle w:val="FootnoteReference"/>
          <w:rFonts w:eastAsia="Times New Roman"/>
        </w:rPr>
        <w:footnoteReference w:id="111"/>
      </w:r>
      <w:r w:rsidRPr="00B205D7">
        <w:rPr>
          <w:rFonts w:eastAsia="Times New Roman"/>
        </w:rPr>
        <w:t xml:space="preserve"> </w:t>
      </w:r>
    </w:p>
    <w:p w:rsidRPr="00B205D7" w:rsidR="003123D6" w:rsidP="003123D6" w:rsidRDefault="003123D6" w14:paraId="4E98310E" w14:textId="53C21497">
      <w:pPr>
        <w:spacing w:line="480" w:lineRule="auto"/>
        <w:ind w:firstLine="720"/>
      </w:pPr>
      <w:r w:rsidRPr="00B205D7">
        <w:rPr>
          <w:rFonts w:eastAsia="Times New Roman"/>
        </w:rPr>
        <w:t xml:space="preserve">Additionally, country reports indicate that </w:t>
      </w:r>
      <w:r w:rsidR="00706EEB">
        <w:rPr>
          <w:rFonts w:eastAsia="Times New Roman"/>
        </w:rPr>
        <w:t>A-</w:t>
      </w:r>
      <w:r w:rsidRPr="00B205D7">
        <w:rPr>
          <w:rFonts w:eastAsia="Times New Roman"/>
        </w:rPr>
        <w:t xml:space="preserve"> is</w:t>
      </w:r>
      <w:r w:rsidRPr="00B205D7" w:rsidR="002C5F3B">
        <w:rPr>
          <w:rFonts w:eastAsia="Times New Roman"/>
        </w:rPr>
        <w:t xml:space="preserve"> </w:t>
      </w:r>
      <w:r w:rsidRPr="00B205D7">
        <w:rPr>
          <w:rFonts w:eastAsia="Times New Roman"/>
        </w:rPr>
        <w:t>n</w:t>
      </w:r>
      <w:r w:rsidRPr="00B205D7" w:rsidR="002C5F3B">
        <w:rPr>
          <w:rFonts w:eastAsia="Times New Roman"/>
        </w:rPr>
        <w:t>o</w:t>
      </w:r>
      <w:r w:rsidRPr="00B205D7">
        <w:rPr>
          <w:rFonts w:eastAsia="Times New Roman"/>
        </w:rPr>
        <w:t xml:space="preserve">t alone in having her complaints ignored. According to </w:t>
      </w:r>
      <w:r w:rsidRPr="00B205D7" w:rsidR="002C5F3B">
        <w:rPr>
          <w:rFonts w:eastAsia="Times New Roman"/>
        </w:rPr>
        <w:t xml:space="preserve">one </w:t>
      </w:r>
      <w:r w:rsidRPr="00B205D7">
        <w:rPr>
          <w:rFonts w:eastAsia="Times New Roman"/>
        </w:rPr>
        <w:t>report, Mexico la</w:t>
      </w:r>
      <w:r w:rsidRPr="00B205D7">
        <w:t>cks a comprehensive system for granting access to justice for women which presents failures in the criminal justice system.</w:t>
      </w:r>
      <w:r w:rsidRPr="00B205D7" w:rsidR="001C449A">
        <w:rPr>
          <w:rStyle w:val="FootnoteReference"/>
        </w:rPr>
        <w:footnoteReference w:id="112"/>
      </w:r>
      <w:r w:rsidRPr="00B205D7">
        <w:t xml:space="preserve"> The report states that during investigations of the crime, </w:t>
      </w:r>
      <w:r w:rsidRPr="00B205D7" w:rsidR="002C5F3B">
        <w:t>“</w:t>
      </w:r>
      <w:r w:rsidRPr="00B205D7">
        <w:t>women constantly face unjustified delays, lack of forensic testing essential for the investigation, unjustified interference in their private lives and many times are blamed or disqualified by the authorities.</w:t>
      </w:r>
      <w:r w:rsidRPr="00B205D7" w:rsidR="002C5F3B">
        <w:t>”</w:t>
      </w:r>
      <w:r w:rsidRPr="00B205D7" w:rsidR="001C449A">
        <w:rPr>
          <w:rStyle w:val="FootnoteReference"/>
        </w:rPr>
        <w:footnoteReference w:id="113"/>
      </w:r>
      <w:r w:rsidRPr="00B205D7" w:rsidR="00B86E0A">
        <w:t xml:space="preserve"> </w:t>
      </w:r>
      <w:r w:rsidRPr="00B205D7" w:rsidR="00045A5D">
        <w:t xml:space="preserve">Because the </w:t>
      </w:r>
      <w:r w:rsidRPr="00B205D7" w:rsidR="002C5F3B">
        <w:t>T</w:t>
      </w:r>
      <w:r w:rsidRPr="00B205D7" w:rsidR="00045A5D">
        <w:t xml:space="preserve">hird </w:t>
      </w:r>
      <w:r w:rsidRPr="00B205D7" w:rsidR="002C5F3B">
        <w:t>C</w:t>
      </w:r>
      <w:r w:rsidRPr="00B205D7" w:rsidR="00045A5D">
        <w:t>ircuit has held that in CAT claims “country conditions alone can play a decisive role in granting relief,</w:t>
      </w:r>
      <w:r w:rsidRPr="00B205D7" w:rsidR="00B86E0A">
        <w:t>”</w:t>
      </w:r>
      <w:r w:rsidRPr="00B205D7" w:rsidR="00045A5D">
        <w:t xml:space="preserve"> the reports in this case</w:t>
      </w:r>
      <w:r w:rsidRPr="00B205D7" w:rsidR="004D6247">
        <w:t>, along with her experience,</w:t>
      </w:r>
      <w:r w:rsidRPr="00B205D7" w:rsidR="00045A5D">
        <w:t xml:space="preserve"> should be </w:t>
      </w:r>
      <w:r w:rsidRPr="00B205D7" w:rsidR="009175EC">
        <w:t>more than sufficient</w:t>
      </w:r>
      <w:r w:rsidRPr="00B205D7" w:rsidR="004D6247">
        <w:t xml:space="preserve"> to meet the required standards.</w:t>
      </w:r>
      <w:r w:rsidRPr="00B205D7" w:rsidR="001C449A">
        <w:rPr>
          <w:rStyle w:val="FootnoteReference"/>
        </w:rPr>
        <w:footnoteReference w:id="114"/>
      </w:r>
    </w:p>
    <w:p w:rsidRPr="00B205D7" w:rsidR="00995060" w:rsidP="00867438" w:rsidRDefault="00045A5D" w14:paraId="571BB5C2" w14:textId="4AE9CA9F">
      <w:pPr>
        <w:spacing w:line="480" w:lineRule="auto"/>
        <w:ind w:firstLine="720"/>
        <w:rPr>
          <w:rFonts w:eastAsia="Times New Roman"/>
          <w:b/>
        </w:rPr>
      </w:pPr>
      <w:r w:rsidRPr="00B205D7">
        <w:t xml:space="preserve">In </w:t>
      </w:r>
      <w:r w:rsidRPr="00B205D7" w:rsidR="002C5F3B">
        <w:t>sum</w:t>
      </w:r>
      <w:r w:rsidRPr="00B205D7">
        <w:t xml:space="preserve">, while the law in the </w:t>
      </w:r>
      <w:r w:rsidR="00C47D73">
        <w:t>T</w:t>
      </w:r>
      <w:r w:rsidRPr="00B205D7">
        <w:t xml:space="preserve">hird </w:t>
      </w:r>
      <w:r w:rsidR="00C47D73">
        <w:t>C</w:t>
      </w:r>
      <w:r w:rsidRPr="00B205D7">
        <w:t xml:space="preserve">ircuit only requires a “willfully blind” government, </w:t>
      </w:r>
      <w:r w:rsidR="00706EEB">
        <w:t>A-</w:t>
      </w:r>
      <w:r w:rsidRPr="00B205D7" w:rsidR="002C5F3B">
        <w:t xml:space="preserve"> has clearly shown acquiescence.</w:t>
      </w:r>
      <w:r w:rsidRPr="00B205D7" w:rsidR="009175EC">
        <w:t xml:space="preserve"> </w:t>
      </w:r>
      <w:r w:rsidRPr="00B205D7" w:rsidR="002C5F3B">
        <w:t xml:space="preserve">The abuse took place in front of </w:t>
      </w:r>
      <w:r w:rsidRPr="00B205D7" w:rsidR="00EA47F4">
        <w:t xml:space="preserve">governmental </w:t>
      </w:r>
      <w:r w:rsidR="00C47D73">
        <w:t>officials</w:t>
      </w:r>
      <w:r w:rsidRPr="00B205D7" w:rsidR="00EA47F4">
        <w:t xml:space="preserve"> </w:t>
      </w:r>
      <w:r w:rsidRPr="00B205D7" w:rsidR="002C5F3B">
        <w:t xml:space="preserve">who did nothing to help her and instead fired her. Moreover, the police </w:t>
      </w:r>
      <w:r w:rsidRPr="00B205D7">
        <w:t xml:space="preserve">knew about </w:t>
      </w:r>
      <w:r w:rsidR="00706EEB">
        <w:t>M-</w:t>
      </w:r>
      <w:r w:rsidRPr="00B205D7">
        <w:t xml:space="preserve">’s abuse but </w:t>
      </w:r>
      <w:r w:rsidRPr="00B205D7">
        <w:lastRenderedPageBreak/>
        <w:t>blatantly told her nothing c</w:t>
      </w:r>
      <w:r w:rsidRPr="00B205D7" w:rsidR="002C5F3B">
        <w:t>ould</w:t>
      </w:r>
      <w:r w:rsidRPr="00B205D7">
        <w:t xml:space="preserve"> be done. </w:t>
      </w:r>
      <w:r w:rsidRPr="00B205D7" w:rsidR="00B86E0A">
        <w:t xml:space="preserve">Country reports </w:t>
      </w:r>
      <w:r w:rsidRPr="00B205D7" w:rsidR="002C5F3B">
        <w:t>corroborate</w:t>
      </w:r>
      <w:r w:rsidRPr="00B205D7" w:rsidR="00B86E0A">
        <w:t xml:space="preserve"> her experience that protective measures </w:t>
      </w:r>
      <w:r w:rsidRPr="00B205D7" w:rsidR="002C5F3B">
        <w:t>in Mexico a</w:t>
      </w:r>
      <w:r w:rsidRPr="00B205D7" w:rsidR="00B86E0A">
        <w:t xml:space="preserve">re largely ineffective. </w:t>
      </w:r>
    </w:p>
    <w:p w:rsidRPr="00B205D7" w:rsidR="00031DC2" w:rsidP="00031DC2" w:rsidRDefault="00031DC2" w14:paraId="45E1F93B" w14:textId="64F11810">
      <w:pPr>
        <w:pStyle w:val="ListParagraph"/>
        <w:numPr>
          <w:ilvl w:val="0"/>
          <w:numId w:val="2"/>
        </w:numPr>
        <w:rPr>
          <w:rFonts w:eastAsia="Times New Roman"/>
          <w:b/>
          <w:sz w:val="24"/>
          <w:szCs w:val="24"/>
        </w:rPr>
      </w:pPr>
      <w:r w:rsidRPr="00B205D7">
        <w:rPr>
          <w:rFonts w:eastAsia="Times New Roman"/>
          <w:b/>
          <w:sz w:val="24"/>
          <w:szCs w:val="24"/>
        </w:rPr>
        <w:t xml:space="preserve">THE IMMIGRATION JUDGE’S FINDING THAT MS. </w:t>
      </w:r>
      <w:r w:rsidR="00706EEB">
        <w:rPr>
          <w:rFonts w:eastAsia="Times New Roman"/>
          <w:b/>
          <w:sz w:val="24"/>
          <w:szCs w:val="24"/>
        </w:rPr>
        <w:t>C-T-</w:t>
      </w:r>
      <w:r w:rsidRPr="00B205D7">
        <w:rPr>
          <w:rFonts w:eastAsia="Times New Roman"/>
          <w:b/>
          <w:sz w:val="24"/>
          <w:szCs w:val="24"/>
        </w:rPr>
        <w:t xml:space="preserve"> DOES NOT HAVE A WELL-FOUNDED FEAR OF PERSECUTION ON ACCOUNT OF HER MEMBERSHIP IN A PARTICULAR SOCIAL GROUP IS CLEARLY ERRONEOUS</w:t>
      </w:r>
    </w:p>
    <w:p w:rsidRPr="00B205D7" w:rsidR="00403313" w:rsidP="00403313" w:rsidRDefault="00403313" w14:paraId="0ED34EBC" w14:textId="77777777">
      <w:pPr>
        <w:ind w:left="360"/>
        <w:rPr>
          <w:rFonts w:eastAsia="Times New Roman"/>
          <w:b/>
        </w:rPr>
      </w:pPr>
    </w:p>
    <w:p w:rsidRPr="00B205D7" w:rsidR="00403313" w:rsidP="00C9202C" w:rsidRDefault="00577E8A" w14:paraId="7F26C574" w14:textId="0B96EFF5">
      <w:pPr>
        <w:spacing w:line="480" w:lineRule="auto"/>
        <w:ind w:firstLine="720"/>
        <w:rPr>
          <w:rFonts w:eastAsia="Times New Roman"/>
        </w:rPr>
      </w:pPr>
      <w:r w:rsidRPr="00B205D7">
        <w:rPr>
          <w:rFonts w:eastAsia="Times New Roman"/>
        </w:rPr>
        <w:t>An applicant</w:t>
      </w:r>
      <w:r w:rsidRPr="00B205D7" w:rsidR="002C5F3B">
        <w:rPr>
          <w:rFonts w:eastAsia="Times New Roman"/>
        </w:rPr>
        <w:t xml:space="preserve"> for withholding of removal</w:t>
      </w:r>
      <w:r w:rsidRPr="00B205D7">
        <w:rPr>
          <w:rFonts w:eastAsia="Times New Roman"/>
        </w:rPr>
        <w:t xml:space="preserve"> must establish that race, religion, nationality, membership in a particular social group, or political opinion was or will be at least </w:t>
      </w:r>
      <w:r w:rsidR="004F58FC">
        <w:rPr>
          <w:rFonts w:eastAsia="Times New Roman"/>
        </w:rPr>
        <w:t xml:space="preserve">be </w:t>
      </w:r>
      <w:r w:rsidRPr="00B205D7">
        <w:rPr>
          <w:rFonts w:eastAsia="Times New Roman"/>
        </w:rPr>
        <w:t>one central reason for persecuting the applicant</w:t>
      </w:r>
      <w:r w:rsidRPr="00B205D7" w:rsidR="00D35A01">
        <w:rPr>
          <w:rFonts w:eastAsia="Times New Roman"/>
        </w:rPr>
        <w:t>.</w:t>
      </w:r>
      <w:r w:rsidRPr="00B205D7" w:rsidR="00D35A01">
        <w:rPr>
          <w:rStyle w:val="FootnoteReference"/>
          <w:rFonts w:eastAsia="Times New Roman"/>
        </w:rPr>
        <w:footnoteReference w:id="115"/>
      </w:r>
      <w:r w:rsidRPr="00B205D7" w:rsidR="00D35A01">
        <w:rPr>
          <w:rFonts w:eastAsia="Times New Roman"/>
        </w:rPr>
        <w:t xml:space="preserve"> </w:t>
      </w:r>
      <w:r w:rsidRPr="00B205D7" w:rsidR="00E56B02">
        <w:rPr>
          <w:rFonts w:eastAsia="Times New Roman"/>
        </w:rPr>
        <w:t xml:space="preserve">Citing </w:t>
      </w:r>
      <w:r w:rsidRPr="00B205D7" w:rsidR="00E56B02">
        <w:rPr>
          <w:rFonts w:eastAsia="Times New Roman"/>
          <w:i/>
        </w:rPr>
        <w:t>Matter of A-B-</w:t>
      </w:r>
      <w:r w:rsidRPr="00B205D7" w:rsidR="00E56B02">
        <w:rPr>
          <w:rFonts w:eastAsia="Times New Roman"/>
        </w:rPr>
        <w:t xml:space="preserve">, Judge Padilla held that </w:t>
      </w:r>
      <w:r w:rsidR="00706EEB">
        <w:rPr>
          <w:rFonts w:eastAsia="Times New Roman"/>
        </w:rPr>
        <w:t>M-</w:t>
      </w:r>
      <w:r w:rsidRPr="00B205D7" w:rsidR="00E56B02">
        <w:rPr>
          <w:rFonts w:eastAsia="Times New Roman"/>
        </w:rPr>
        <w:t>’s abuse was “motivated by his pre-existing relationship</w:t>
      </w:r>
      <w:r w:rsidRPr="00B205D7" w:rsidR="009175EC">
        <w:rPr>
          <w:rFonts w:eastAsia="Times New Roman"/>
        </w:rPr>
        <w:t xml:space="preserve">” with </w:t>
      </w:r>
      <w:r w:rsidR="00706EEB">
        <w:rPr>
          <w:rFonts w:eastAsia="Times New Roman"/>
        </w:rPr>
        <w:t>A-</w:t>
      </w:r>
      <w:r w:rsidRPr="00B205D7" w:rsidR="009175EC">
        <w:rPr>
          <w:rFonts w:eastAsia="Times New Roman"/>
        </w:rPr>
        <w:t xml:space="preserve"> and not because </w:t>
      </w:r>
      <w:r w:rsidRPr="00B205D7" w:rsidR="00E56B02">
        <w:rPr>
          <w:rFonts w:eastAsia="Times New Roman"/>
        </w:rPr>
        <w:t xml:space="preserve">he was aware </w:t>
      </w:r>
      <w:r w:rsidRPr="00B205D7" w:rsidR="002C5F3B">
        <w:rPr>
          <w:rFonts w:eastAsia="Times New Roman"/>
        </w:rPr>
        <w:t xml:space="preserve">of </w:t>
      </w:r>
      <w:r w:rsidRPr="00B205D7" w:rsidR="00E56B02">
        <w:rPr>
          <w:rFonts w:eastAsia="Times New Roman"/>
        </w:rPr>
        <w:t>o</w:t>
      </w:r>
      <w:r w:rsidRPr="00B205D7" w:rsidR="002C5F3B">
        <w:rPr>
          <w:rFonts w:eastAsia="Times New Roman"/>
        </w:rPr>
        <w:t>r</w:t>
      </w:r>
      <w:r w:rsidRPr="00B205D7" w:rsidR="00E56B02">
        <w:rPr>
          <w:rFonts w:eastAsia="Times New Roman"/>
        </w:rPr>
        <w:t xml:space="preserve"> hostile to her membersh</w:t>
      </w:r>
      <w:r w:rsidRPr="00B205D7" w:rsidR="009175EC">
        <w:rPr>
          <w:rFonts w:eastAsia="Times New Roman"/>
        </w:rPr>
        <w:t>ip in a particular social group</w:t>
      </w:r>
      <w:r w:rsidRPr="00B205D7" w:rsidR="00E56B02">
        <w:rPr>
          <w:rFonts w:eastAsia="Times New Roman"/>
        </w:rPr>
        <w:t xml:space="preserve">, </w:t>
      </w:r>
      <w:r w:rsidRPr="00B205D7" w:rsidR="009175EC">
        <w:rPr>
          <w:rFonts w:eastAsia="Times New Roman"/>
        </w:rPr>
        <w:t>“</w:t>
      </w:r>
      <w:r w:rsidRPr="00B205D7" w:rsidR="00E56B02">
        <w:rPr>
          <w:rFonts w:eastAsia="Times New Roman"/>
        </w:rPr>
        <w:t>independent working professional women in Mexico.</w:t>
      </w:r>
      <w:r w:rsidRPr="00B205D7" w:rsidR="009175EC">
        <w:rPr>
          <w:rFonts w:eastAsia="Times New Roman"/>
        </w:rPr>
        <w:t>”</w:t>
      </w:r>
      <w:r w:rsidRPr="00B205D7" w:rsidR="00E56B02">
        <w:rPr>
          <w:rStyle w:val="FootnoteReference"/>
          <w:rFonts w:eastAsia="Times New Roman"/>
        </w:rPr>
        <w:footnoteReference w:id="116"/>
      </w:r>
      <w:r w:rsidRPr="00B205D7" w:rsidR="00146C7F">
        <w:rPr>
          <w:rFonts w:eastAsia="Times New Roman"/>
        </w:rPr>
        <w:t xml:space="preserve"> He thus found that </w:t>
      </w:r>
      <w:r w:rsidR="00706EEB">
        <w:rPr>
          <w:rFonts w:eastAsia="Times New Roman"/>
        </w:rPr>
        <w:t>A-</w:t>
      </w:r>
      <w:r w:rsidRPr="00B205D7" w:rsidR="00146C7F">
        <w:rPr>
          <w:rFonts w:eastAsia="Times New Roman"/>
        </w:rPr>
        <w:t xml:space="preserve"> failed to establish </w:t>
      </w:r>
      <w:r w:rsidRPr="00B205D7" w:rsidR="009175EC">
        <w:rPr>
          <w:rFonts w:eastAsia="Times New Roman"/>
        </w:rPr>
        <w:t xml:space="preserve">the </w:t>
      </w:r>
      <w:r w:rsidRPr="00B205D7" w:rsidR="00146C7F">
        <w:rPr>
          <w:rFonts w:eastAsia="Times New Roman"/>
        </w:rPr>
        <w:t>nexus</w:t>
      </w:r>
      <w:r w:rsidRPr="00B205D7" w:rsidR="009175EC">
        <w:rPr>
          <w:rFonts w:eastAsia="Times New Roman"/>
        </w:rPr>
        <w:t xml:space="preserve"> requirement</w:t>
      </w:r>
      <w:r w:rsidRPr="00B205D7" w:rsidR="00146C7F">
        <w:rPr>
          <w:rFonts w:eastAsia="Times New Roman"/>
        </w:rPr>
        <w:t xml:space="preserve"> for withholding of removal.</w:t>
      </w:r>
      <w:r w:rsidRPr="00B205D7" w:rsidR="00146C7F">
        <w:rPr>
          <w:rStyle w:val="FootnoteReference"/>
          <w:rFonts w:eastAsia="Times New Roman"/>
        </w:rPr>
        <w:footnoteReference w:id="117"/>
      </w:r>
    </w:p>
    <w:p w:rsidRPr="00B205D7" w:rsidR="00031DC2" w:rsidP="0003450D" w:rsidRDefault="00AD6951" w14:paraId="64D120BE" w14:textId="139E1085">
      <w:pPr>
        <w:spacing w:line="480" w:lineRule="auto"/>
        <w:ind w:firstLine="720"/>
      </w:pPr>
      <w:r w:rsidRPr="00B205D7">
        <w:t xml:space="preserve">However, Judge Padilla clearly erred </w:t>
      </w:r>
      <w:r w:rsidRPr="00B205D7" w:rsidR="00F34249">
        <w:t xml:space="preserve">in his finding. </w:t>
      </w:r>
      <w:r w:rsidRPr="00B205D7" w:rsidR="00146C7F">
        <w:t xml:space="preserve">In </w:t>
      </w:r>
      <w:r w:rsidRPr="00B205D7" w:rsidR="00146C7F">
        <w:rPr>
          <w:i/>
        </w:rPr>
        <w:t>Matter of A-B-</w:t>
      </w:r>
      <w:r w:rsidRPr="00B205D7" w:rsidR="00146C7F">
        <w:t xml:space="preserve">, the Attorney General stated that </w:t>
      </w:r>
      <w:r w:rsidRPr="00B205D7" w:rsidR="00D20EF1">
        <w:t xml:space="preserve">awareness by the persecutor is </w:t>
      </w:r>
      <w:r w:rsidRPr="00B205D7" w:rsidR="00F34249">
        <w:t>key in determining whether the particular social group was a central reason for the persecution.</w:t>
      </w:r>
      <w:r w:rsidRPr="00B205D7" w:rsidR="00EB1518">
        <w:rPr>
          <w:rStyle w:val="FootnoteReference"/>
        </w:rPr>
        <w:footnoteReference w:id="118"/>
      </w:r>
      <w:r w:rsidRPr="00B205D7" w:rsidR="00F34249">
        <w:t xml:space="preserve"> </w:t>
      </w:r>
      <w:r w:rsidRPr="00B205D7" w:rsidR="00430D7A">
        <w:t xml:space="preserve">In overturning </w:t>
      </w:r>
      <w:r w:rsidRPr="00B205D7" w:rsidR="009175EC">
        <w:rPr>
          <w:i/>
        </w:rPr>
        <w:t xml:space="preserve">Matter of </w:t>
      </w:r>
      <w:r w:rsidRPr="00B205D7" w:rsidR="00430D7A">
        <w:rPr>
          <w:i/>
        </w:rPr>
        <w:t>A-R-C-G</w:t>
      </w:r>
      <w:r w:rsidRPr="00B205D7" w:rsidR="00430D7A">
        <w:t xml:space="preserve">, the Attorney </w:t>
      </w:r>
      <w:r w:rsidRPr="00B205D7" w:rsidR="00F22E63">
        <w:t xml:space="preserve">General reasoned that </w:t>
      </w:r>
      <w:r w:rsidRPr="00B205D7" w:rsidR="002B4659">
        <w:t>there, “</w:t>
      </w:r>
      <w:r w:rsidRPr="00B205D7" w:rsidR="0003450D">
        <w:t xml:space="preserve">the Board cited no evidence that her ex-husband attacked her because he was aware of, and hostile to” her particular social group. </w:t>
      </w:r>
    </w:p>
    <w:p w:rsidRPr="00B205D7" w:rsidR="001E497A" w:rsidP="0003450D" w:rsidRDefault="001E497A" w14:paraId="142C19EE" w14:textId="2060E6BA">
      <w:pPr>
        <w:spacing w:line="480" w:lineRule="auto"/>
        <w:ind w:firstLine="720"/>
      </w:pPr>
      <w:r w:rsidRPr="00B205D7">
        <w:t xml:space="preserve">Here, there is evidence that </w:t>
      </w:r>
      <w:r w:rsidR="00706EEB">
        <w:t>M-</w:t>
      </w:r>
      <w:r w:rsidRPr="00B205D7">
        <w:t xml:space="preserve"> clearly knew that </w:t>
      </w:r>
      <w:r w:rsidR="00706EEB">
        <w:t>A-</w:t>
      </w:r>
      <w:r w:rsidRPr="00B205D7">
        <w:t xml:space="preserve"> was a member of the social group</w:t>
      </w:r>
      <w:r w:rsidRPr="00B205D7" w:rsidR="00EA47F4">
        <w:t xml:space="preserve"> of</w:t>
      </w:r>
      <w:r w:rsidRPr="00B205D7">
        <w:t xml:space="preserve"> “Independent Working </w:t>
      </w:r>
      <w:r w:rsidRPr="00B205D7" w:rsidR="009175EC">
        <w:t xml:space="preserve">Professional </w:t>
      </w:r>
      <w:r w:rsidRPr="00B205D7">
        <w:t>Women”</w:t>
      </w:r>
      <w:r w:rsidRPr="00B205D7" w:rsidR="0079509E">
        <w:t xml:space="preserve"> and he abused her </w:t>
      </w:r>
      <w:r w:rsidRPr="00B205D7" w:rsidR="000A1E35">
        <w:t>because she was a member</w:t>
      </w:r>
      <w:r w:rsidRPr="00B205D7" w:rsidR="008C265A">
        <w:t xml:space="preserve"> of that particular social group</w:t>
      </w:r>
      <w:r w:rsidRPr="00B205D7" w:rsidR="000A1E35">
        <w:t xml:space="preserve">. </w:t>
      </w:r>
      <w:r w:rsidR="00706EEB">
        <w:t>A-</w:t>
      </w:r>
      <w:r w:rsidRPr="00B205D7" w:rsidR="00413342">
        <w:t xml:space="preserve"> testified that </w:t>
      </w:r>
      <w:r w:rsidR="00706EEB">
        <w:t>M-</w:t>
      </w:r>
      <w:r w:rsidRPr="00B205D7" w:rsidR="00413342">
        <w:t xml:space="preserve"> would tell her that he had never seen a woman that would make more than a man</w:t>
      </w:r>
      <w:r w:rsidRPr="00B205D7" w:rsidR="002C73D6">
        <w:t xml:space="preserve"> in his family</w:t>
      </w:r>
      <w:r w:rsidRPr="00B205D7" w:rsidR="00413342">
        <w:t>.</w:t>
      </w:r>
      <w:r w:rsidRPr="00B205D7" w:rsidR="00413342">
        <w:rPr>
          <w:rStyle w:val="FootnoteReference"/>
        </w:rPr>
        <w:footnoteReference w:id="119"/>
      </w:r>
      <w:r w:rsidRPr="00B205D7" w:rsidR="00413342">
        <w:t xml:space="preserve"> She said this caused problems because she </w:t>
      </w:r>
      <w:r w:rsidRPr="00B205D7" w:rsidR="00413342">
        <w:lastRenderedPageBreak/>
        <w:t xml:space="preserve">liked her job, made a good salary, and did not depend </w:t>
      </w:r>
      <w:r w:rsidRPr="00B205D7" w:rsidR="002C5F3B">
        <w:t xml:space="preserve">on </w:t>
      </w:r>
      <w:r w:rsidR="00706EEB">
        <w:t>M-</w:t>
      </w:r>
      <w:r w:rsidRPr="00B205D7" w:rsidR="002C5F3B">
        <w:t xml:space="preserve"> economically</w:t>
      </w:r>
      <w:r w:rsidRPr="00B205D7" w:rsidR="00413342">
        <w:t>.</w:t>
      </w:r>
      <w:r w:rsidRPr="00B205D7" w:rsidR="00413342">
        <w:rPr>
          <w:rStyle w:val="FootnoteReference"/>
        </w:rPr>
        <w:footnoteReference w:id="120"/>
      </w:r>
      <w:r w:rsidRPr="00B205D7" w:rsidR="00413342">
        <w:t xml:space="preserve"> </w:t>
      </w:r>
      <w:r w:rsidRPr="00B205D7" w:rsidR="00A63AF9">
        <w:t xml:space="preserve">As a result, </w:t>
      </w:r>
      <w:r w:rsidRPr="00B205D7" w:rsidR="00776B2C">
        <w:t xml:space="preserve">not only would </w:t>
      </w:r>
      <w:r w:rsidRPr="00B205D7" w:rsidR="00320DFC">
        <w:t xml:space="preserve">he would call her </w:t>
      </w:r>
      <w:r w:rsidRPr="00B205D7" w:rsidR="002C5F3B">
        <w:t>“</w:t>
      </w:r>
      <w:r w:rsidRPr="00B205D7" w:rsidR="00320DFC">
        <w:t>stupid</w:t>
      </w:r>
      <w:r w:rsidRPr="00B205D7" w:rsidR="002C5F3B">
        <w:t>”</w:t>
      </w:r>
      <w:r w:rsidRPr="00B205D7" w:rsidR="00320DFC">
        <w:t xml:space="preserve"> and </w:t>
      </w:r>
      <w:r w:rsidRPr="00B205D7" w:rsidR="002C5F3B">
        <w:t>“</w:t>
      </w:r>
      <w:r w:rsidRPr="00B205D7" w:rsidR="00320DFC">
        <w:t>worthless</w:t>
      </w:r>
      <w:r w:rsidRPr="00B205D7" w:rsidR="00776B2C">
        <w:t>,” but</w:t>
      </w:r>
      <w:r w:rsidRPr="00B205D7" w:rsidR="002C5F3B">
        <w:t xml:space="preserve"> he</w:t>
      </w:r>
      <w:r w:rsidRPr="00B205D7" w:rsidR="00776B2C">
        <w:t xml:space="preserve"> would get enraged when co-workers called </w:t>
      </w:r>
      <w:r w:rsidR="00706EEB">
        <w:t>A-</w:t>
      </w:r>
      <w:r w:rsidRPr="00B205D7" w:rsidR="00776B2C">
        <w:t xml:space="preserve"> regarding work-related questions.</w:t>
      </w:r>
      <w:r w:rsidRPr="00B205D7" w:rsidR="00776B2C">
        <w:rPr>
          <w:rStyle w:val="FootnoteReference"/>
        </w:rPr>
        <w:footnoteReference w:id="121"/>
      </w:r>
      <w:r w:rsidRPr="00B205D7" w:rsidR="00205D54">
        <w:t xml:space="preserve"> </w:t>
      </w:r>
      <w:r w:rsidRPr="00B205D7" w:rsidR="008C265A">
        <w:t xml:space="preserve">When </w:t>
      </w:r>
      <w:r w:rsidRPr="00B205D7" w:rsidR="00205D54">
        <w:rPr>
          <w:rFonts w:eastAsia="Times New Roman"/>
        </w:rPr>
        <w:t xml:space="preserve">a co-worker told </w:t>
      </w:r>
      <w:r w:rsidR="00706EEB">
        <w:rPr>
          <w:rFonts w:eastAsia="Times New Roman"/>
        </w:rPr>
        <w:t>M-</w:t>
      </w:r>
      <w:r w:rsidRPr="00B205D7" w:rsidR="00205D54">
        <w:rPr>
          <w:rFonts w:eastAsia="Times New Roman"/>
        </w:rPr>
        <w:t xml:space="preserve"> that </w:t>
      </w:r>
      <w:r w:rsidR="00706EEB">
        <w:rPr>
          <w:rFonts w:eastAsia="Times New Roman"/>
        </w:rPr>
        <w:t>A-</w:t>
      </w:r>
      <w:r w:rsidRPr="00B205D7" w:rsidR="00205D54">
        <w:rPr>
          <w:rFonts w:eastAsia="Times New Roman"/>
        </w:rPr>
        <w:t xml:space="preserve"> was a good worker</w:t>
      </w:r>
      <w:r w:rsidRPr="00B205D7" w:rsidR="008C265A">
        <w:rPr>
          <w:rFonts w:eastAsia="Times New Roman"/>
        </w:rPr>
        <w:t>,</w:t>
      </w:r>
      <w:r w:rsidRPr="00B205D7" w:rsidR="00205D54">
        <w:rPr>
          <w:rFonts w:eastAsia="Times New Roman"/>
        </w:rPr>
        <w:t xml:space="preserve"> he proceeded to strike </w:t>
      </w:r>
      <w:r w:rsidR="00706EEB">
        <w:rPr>
          <w:rFonts w:eastAsia="Times New Roman"/>
        </w:rPr>
        <w:t>A-</w:t>
      </w:r>
      <w:r w:rsidRPr="00B205D7" w:rsidR="00205D54">
        <w:rPr>
          <w:rFonts w:eastAsia="Times New Roman"/>
        </w:rPr>
        <w:t xml:space="preserve"> in front of her co-workers and other members of the department</w:t>
      </w:r>
      <w:r w:rsidRPr="00B205D7" w:rsidR="008C265A">
        <w:rPr>
          <w:rFonts w:eastAsia="Times New Roman"/>
        </w:rPr>
        <w:t xml:space="preserve"> because it reminded him of her status as an independent, working, professional woman.</w:t>
      </w:r>
      <w:r w:rsidRPr="00B205D7" w:rsidR="008C265A">
        <w:rPr>
          <w:rStyle w:val="FootnoteReference"/>
          <w:rFonts w:eastAsia="Times New Roman"/>
        </w:rPr>
        <w:footnoteReference w:id="122"/>
      </w:r>
    </w:p>
    <w:p w:rsidRPr="00B205D7" w:rsidR="00B86E0A" w:rsidP="003123D6" w:rsidRDefault="00E32B82" w14:paraId="2744B097" w14:textId="1BA66A2F">
      <w:pPr>
        <w:spacing w:line="480" w:lineRule="auto"/>
        <w:ind w:firstLine="720"/>
      </w:pPr>
      <w:r w:rsidRPr="00B205D7">
        <w:t xml:space="preserve">Judge Padilla also concluded the nexus requirement was not met </w:t>
      </w:r>
      <w:r w:rsidRPr="00B205D7" w:rsidR="00D32A8D">
        <w:t xml:space="preserve">because </w:t>
      </w:r>
      <w:r w:rsidR="00706EEB">
        <w:t>M-</w:t>
      </w:r>
      <w:r w:rsidRPr="00B205D7" w:rsidR="00D32A8D">
        <w:t>’s abuse continued after she was terminated</w:t>
      </w:r>
      <w:r w:rsidRPr="00B205D7" w:rsidR="002C5F3B">
        <w:t xml:space="preserve"> from her job</w:t>
      </w:r>
      <w:r w:rsidRPr="00B205D7" w:rsidR="00D32A8D">
        <w:t xml:space="preserve"> in August 2008.</w:t>
      </w:r>
      <w:r w:rsidRPr="00B205D7" w:rsidR="00D32A8D">
        <w:rPr>
          <w:rStyle w:val="FootnoteReference"/>
        </w:rPr>
        <w:footnoteReference w:id="123"/>
      </w:r>
      <w:r w:rsidRPr="00B205D7" w:rsidR="002C73D6">
        <w:t xml:space="preserve"> However, a woman’s status as an independent, professional woman does not change solely because of a termination or job change. Even after </w:t>
      </w:r>
      <w:r w:rsidR="00706EEB">
        <w:t>A-</w:t>
      </w:r>
      <w:r w:rsidRPr="00B205D7" w:rsidR="002C73D6">
        <w:t xml:space="preserve"> was terminated, people recognized her as </w:t>
      </w:r>
      <w:r w:rsidRPr="00B205D7" w:rsidR="00C95CDD">
        <w:t xml:space="preserve">a technician and would greet her </w:t>
      </w:r>
      <w:r w:rsidRPr="00B205D7" w:rsidR="0049364E">
        <w:t>as she was walking down the street, addressing her as “Ms. Engineer</w:t>
      </w:r>
      <w:r w:rsidRPr="00B205D7" w:rsidR="002C5F3B">
        <w:t>.</w:t>
      </w:r>
      <w:r w:rsidRPr="00B205D7" w:rsidR="0049364E">
        <w:t>”</w:t>
      </w:r>
      <w:r w:rsidRPr="00B205D7" w:rsidR="00011E0F">
        <w:rPr>
          <w:rStyle w:val="FootnoteReference"/>
        </w:rPr>
        <w:footnoteReference w:id="124"/>
      </w:r>
      <w:r w:rsidRPr="00B205D7" w:rsidR="00011E0F">
        <w:t xml:space="preserve"> Therefore, </w:t>
      </w:r>
      <w:r w:rsidR="00706EEB">
        <w:t>M-</w:t>
      </w:r>
      <w:r w:rsidRPr="00B205D7" w:rsidR="00011E0F">
        <w:t xml:space="preserve"> kept abusing </w:t>
      </w:r>
      <w:r w:rsidR="00706EEB">
        <w:t>A-</w:t>
      </w:r>
      <w:r w:rsidRPr="00B205D7" w:rsidR="00BF3D63">
        <w:t xml:space="preserve"> even after being terminated</w:t>
      </w:r>
      <w:r w:rsidRPr="00B205D7" w:rsidR="00011E0F">
        <w:t xml:space="preserve"> because she </w:t>
      </w:r>
      <w:r w:rsidRPr="00B205D7" w:rsidR="00BF3D63">
        <w:t xml:space="preserve">still </w:t>
      </w:r>
      <w:r w:rsidRPr="00B205D7" w:rsidR="00011E0F">
        <w:t>had the status of an independent, professional woman.</w:t>
      </w:r>
      <w:r w:rsidRPr="00B205D7" w:rsidR="00011E0F">
        <w:rPr>
          <w:rStyle w:val="FootnoteReference"/>
        </w:rPr>
        <w:footnoteReference w:id="125"/>
      </w:r>
    </w:p>
    <w:p w:rsidRPr="00B205D7" w:rsidR="003B3CA9" w:rsidP="003B3CA9" w:rsidRDefault="00840CC8" w14:paraId="717BCBF5" w14:textId="0856086C">
      <w:pPr>
        <w:spacing w:line="480" w:lineRule="auto"/>
        <w:outlineLvl w:val="0"/>
      </w:pPr>
      <w:r w:rsidRPr="00B205D7">
        <w:tab/>
      </w:r>
      <w:r w:rsidRPr="00B205D7" w:rsidR="009175EC">
        <w:t>Furthermore</w:t>
      </w:r>
      <w:r w:rsidRPr="00B205D7">
        <w:t xml:space="preserve">, </w:t>
      </w:r>
      <w:r w:rsidR="00C47D73">
        <w:t>T</w:t>
      </w:r>
      <w:r w:rsidRPr="00B205D7">
        <w:t xml:space="preserve">hird </w:t>
      </w:r>
      <w:r w:rsidR="00C47D73">
        <w:t>C</w:t>
      </w:r>
      <w:r w:rsidRPr="00B205D7">
        <w:t xml:space="preserve">ircuit case law supports the conclusion that </w:t>
      </w:r>
      <w:r w:rsidR="00706EEB">
        <w:t>A-</w:t>
      </w:r>
      <w:r w:rsidRPr="00B205D7">
        <w:t xml:space="preserve">’s independent, professional status was a central reason for </w:t>
      </w:r>
      <w:r w:rsidR="00706EEB">
        <w:t>M-</w:t>
      </w:r>
      <w:r w:rsidRPr="00B205D7">
        <w:t xml:space="preserve">’s abuse. </w:t>
      </w:r>
      <w:r w:rsidRPr="00B205D7" w:rsidR="003B3CA9">
        <w:t xml:space="preserve">In </w:t>
      </w:r>
      <w:r w:rsidRPr="00B205D7" w:rsidR="003B3CA9">
        <w:rPr>
          <w:i/>
        </w:rPr>
        <w:t>Gonzalez-Posadas v. Atty. Gen. U.S.</w:t>
      </w:r>
      <w:r w:rsidRPr="00B205D7" w:rsidR="00506842">
        <w:t xml:space="preserve">, </w:t>
      </w:r>
      <w:r w:rsidRPr="00B205D7" w:rsidR="00DA37F1">
        <w:t>a</w:t>
      </w:r>
      <w:r w:rsidRPr="00B205D7" w:rsidR="00FB4EAA">
        <w:t xml:space="preserve"> Honduran applicant feared returning to his country due to threats by Maras, a gang that </w:t>
      </w:r>
      <w:r w:rsidRPr="00B205D7" w:rsidR="00DA37F1">
        <w:t>beat him while calling him homophobic slurs.</w:t>
      </w:r>
      <w:r w:rsidRPr="00B205D7" w:rsidR="00CB3D19">
        <w:rPr>
          <w:rStyle w:val="FootnoteReference"/>
        </w:rPr>
        <w:footnoteReference w:id="126"/>
      </w:r>
      <w:r w:rsidRPr="00B205D7" w:rsidR="00987F3F">
        <w:t xml:space="preserve"> </w:t>
      </w:r>
      <w:r w:rsidRPr="00B205D7" w:rsidR="00FB4EAA">
        <w:t xml:space="preserve">The court </w:t>
      </w:r>
      <w:r w:rsidRPr="00B205D7" w:rsidR="00DA37F1">
        <w:t xml:space="preserve">held that </w:t>
      </w:r>
      <w:r w:rsidR="00C47D73">
        <w:t xml:space="preserve">his </w:t>
      </w:r>
      <w:r w:rsidRPr="00B205D7" w:rsidR="00DA37F1">
        <w:t xml:space="preserve">sexual orientation was not </w:t>
      </w:r>
      <w:r w:rsidRPr="00B205D7" w:rsidR="00987F3F">
        <w:t xml:space="preserve">a central reason for his persecution, as the applicant admitted during an interview that Maras </w:t>
      </w:r>
      <w:r w:rsidRPr="00B205D7" w:rsidR="00987F3F">
        <w:lastRenderedPageBreak/>
        <w:t>wanted to harm him to “steal from him.”</w:t>
      </w:r>
      <w:r w:rsidRPr="00B205D7" w:rsidR="00CB3D19">
        <w:rPr>
          <w:rStyle w:val="FootnoteReference"/>
        </w:rPr>
        <w:footnoteReference w:id="127"/>
      </w:r>
      <w:r w:rsidRPr="00B205D7" w:rsidR="00987F3F">
        <w:t xml:space="preserve"> </w:t>
      </w:r>
      <w:r w:rsidRPr="00B205D7" w:rsidR="00BD5117">
        <w:t>Additionally</w:t>
      </w:r>
      <w:r w:rsidRPr="00B205D7" w:rsidR="00987F3F">
        <w:t xml:space="preserve">, </w:t>
      </w:r>
      <w:r w:rsidRPr="00B205D7" w:rsidR="00ED553D">
        <w:t>his cousin, who was not gay, was also recruited, which indicated that the gang was also motivated by their attempts to recruit young boys into their gang.</w:t>
      </w:r>
      <w:r w:rsidRPr="00B205D7" w:rsidR="00CB3D19">
        <w:rPr>
          <w:rStyle w:val="FootnoteReference"/>
        </w:rPr>
        <w:footnoteReference w:id="128"/>
      </w:r>
    </w:p>
    <w:p w:rsidRPr="00B205D7" w:rsidR="00ED553D" w:rsidP="003B3CA9" w:rsidRDefault="00ED553D" w14:paraId="15515F1B" w14:textId="23246EF7">
      <w:pPr>
        <w:spacing w:line="480" w:lineRule="auto"/>
        <w:outlineLvl w:val="0"/>
      </w:pPr>
      <w:r w:rsidRPr="00B205D7">
        <w:tab/>
      </w:r>
      <w:r w:rsidRPr="00B205D7">
        <w:t xml:space="preserve">Unlike the persecutors </w:t>
      </w:r>
      <w:r w:rsidRPr="00B205D7">
        <w:rPr>
          <w:i/>
        </w:rPr>
        <w:t>Gonzalez-Posadas</w:t>
      </w:r>
      <w:r w:rsidRPr="00B205D7">
        <w:t xml:space="preserve">, </w:t>
      </w:r>
      <w:r w:rsidR="00706EEB">
        <w:t>M-</w:t>
      </w:r>
      <w:r w:rsidRPr="00B205D7">
        <w:t xml:space="preserve"> did not have any other motivation </w:t>
      </w:r>
      <w:r w:rsidRPr="00B205D7" w:rsidR="00441DDE">
        <w:t xml:space="preserve">for persecuting </w:t>
      </w:r>
      <w:r w:rsidR="00706EEB">
        <w:t>A-</w:t>
      </w:r>
      <w:r w:rsidRPr="00B205D7" w:rsidR="00441DDE">
        <w:t xml:space="preserve"> besides his jealousy and distain for independent</w:t>
      </w:r>
      <w:r w:rsidRPr="00B205D7" w:rsidR="009175EC">
        <w:t>, professional, and working wome</w:t>
      </w:r>
      <w:r w:rsidRPr="00B205D7" w:rsidR="00441DDE">
        <w:t xml:space="preserve">n. </w:t>
      </w:r>
      <w:r w:rsidR="00706EEB">
        <w:t>A-</w:t>
      </w:r>
      <w:r w:rsidRPr="00B205D7" w:rsidR="003D018F">
        <w:t xml:space="preserve">, in her testimony deemed credible by Judge Padilla, stated that </w:t>
      </w:r>
      <w:r w:rsidR="00706EEB">
        <w:t>M-</w:t>
      </w:r>
      <w:r w:rsidRPr="00B205D7" w:rsidR="003D018F">
        <w:t xml:space="preserve"> beat her as a direct result of being complimented by her co-workers.</w:t>
      </w:r>
      <w:r w:rsidRPr="00B205D7" w:rsidR="004A550D">
        <w:rPr>
          <w:rStyle w:val="FootnoteReference"/>
        </w:rPr>
        <w:footnoteReference w:id="129"/>
      </w:r>
      <w:r w:rsidRPr="00B205D7" w:rsidR="003D018F">
        <w:t xml:space="preserve"> </w:t>
      </w:r>
      <w:r w:rsidRPr="00B205D7" w:rsidR="00DC0266">
        <w:t xml:space="preserve">His remarks towards </w:t>
      </w:r>
      <w:r w:rsidR="00706EEB">
        <w:t>A-</w:t>
      </w:r>
      <w:r w:rsidRPr="00B205D7" w:rsidR="00DC0266">
        <w:t>, calling her “stupid” and “worthless</w:t>
      </w:r>
      <w:r w:rsidRPr="00B205D7" w:rsidR="002C5F3B">
        <w:t>,</w:t>
      </w:r>
      <w:r w:rsidRPr="00B205D7" w:rsidR="00DC0266">
        <w:t xml:space="preserve">” indicate his resentment towards </w:t>
      </w:r>
      <w:r w:rsidR="00706EEB">
        <w:t>A-</w:t>
      </w:r>
      <w:r w:rsidRPr="00B205D7" w:rsidR="006238A0">
        <w:t xml:space="preserve"> as she did not rely on him and was perfectly capable of taking care of herself</w:t>
      </w:r>
      <w:r w:rsidRPr="00B205D7" w:rsidR="00DC0266">
        <w:t>.</w:t>
      </w:r>
      <w:r w:rsidRPr="00B205D7" w:rsidR="004A550D">
        <w:rPr>
          <w:rStyle w:val="FootnoteReference"/>
        </w:rPr>
        <w:footnoteReference w:id="130"/>
      </w:r>
      <w:r w:rsidRPr="00B205D7" w:rsidR="00DC0266">
        <w:t xml:space="preserve"> </w:t>
      </w:r>
      <w:r w:rsidRPr="00B205D7" w:rsidR="00CB3D19">
        <w:t>Here, there w</w:t>
      </w:r>
      <w:r w:rsidR="00C47D73">
        <w:t>ere</w:t>
      </w:r>
      <w:r w:rsidRPr="00B205D7" w:rsidR="00CB3D19">
        <w:t xml:space="preserve"> no other possible reasons for the persecution, as there was no money involved.</w:t>
      </w:r>
      <w:r w:rsidRPr="00B205D7" w:rsidR="00EA47F4">
        <w:rPr>
          <w:rStyle w:val="FootnoteReference"/>
        </w:rPr>
        <w:footnoteReference w:id="131"/>
      </w:r>
    </w:p>
    <w:p w:rsidRPr="00B205D7" w:rsidR="00384982" w:rsidP="00384982" w:rsidRDefault="00384982" w14:paraId="1CBBDF10" w14:textId="3AE3BE9B">
      <w:pPr>
        <w:jc w:val="center"/>
        <w:rPr>
          <w:rFonts w:eastAsia="Times New Roman"/>
          <w:b/>
          <w:u w:val="single"/>
        </w:rPr>
      </w:pPr>
      <w:r w:rsidRPr="00B205D7">
        <w:rPr>
          <w:rFonts w:eastAsia="Times New Roman"/>
          <w:b/>
          <w:u w:val="single"/>
        </w:rPr>
        <w:t>CONCLUSION</w:t>
      </w:r>
    </w:p>
    <w:p w:rsidRPr="00B205D7" w:rsidR="0049159F" w:rsidP="00384982" w:rsidRDefault="0049159F" w14:paraId="7119B7E3" w14:textId="77777777">
      <w:pPr>
        <w:jc w:val="center"/>
        <w:rPr>
          <w:rFonts w:eastAsia="Times New Roman"/>
          <w:b/>
          <w:u w:val="single"/>
        </w:rPr>
      </w:pPr>
    </w:p>
    <w:p w:rsidRPr="00B205D7" w:rsidR="0049159F" w:rsidP="00FA6620" w:rsidRDefault="0049159F" w14:paraId="44C08BF1" w14:textId="5C2466CB">
      <w:pPr>
        <w:spacing w:line="480" w:lineRule="auto"/>
        <w:ind w:firstLine="720"/>
        <w:rPr>
          <w:rFonts w:eastAsia="Times New Roman"/>
          <w:b/>
          <w:u w:val="single"/>
        </w:rPr>
      </w:pPr>
      <w:r w:rsidRPr="00B205D7">
        <w:t xml:space="preserve">For the reasons set forth above, Ms. </w:t>
      </w:r>
      <w:r w:rsidR="00706EEB">
        <w:t>C-T-</w:t>
      </w:r>
      <w:r w:rsidRPr="00B205D7">
        <w:t xml:space="preserve"> merits a grant of withholding of removal and is eligible for relief under the Convention Against Torture.</w:t>
      </w:r>
      <w:r w:rsidRPr="00B205D7" w:rsidR="004901B9">
        <w:t xml:space="preserve"> </w:t>
      </w:r>
      <w:r w:rsidRPr="00B205D7" w:rsidR="00EA47F4">
        <w:t>The Board should reverse the IJ’s decision and grant relief. Should the Board opt not to grant relief</w:t>
      </w:r>
      <w:r w:rsidRPr="00B205D7" w:rsidR="004901B9">
        <w:t xml:space="preserve">, the case should be remanded for the </w:t>
      </w:r>
      <w:r w:rsidR="001E1E52">
        <w:t>i</w:t>
      </w:r>
      <w:r w:rsidRPr="00B205D7" w:rsidR="004901B9">
        <w:t xml:space="preserve">mmigration </w:t>
      </w:r>
      <w:r w:rsidR="001E1E52">
        <w:t>j</w:t>
      </w:r>
      <w:r w:rsidRPr="00B205D7" w:rsidR="004901B9">
        <w:t xml:space="preserve">udge to address the </w:t>
      </w:r>
      <w:r w:rsidRPr="00B205D7" w:rsidR="00E20A57">
        <w:t>political</w:t>
      </w:r>
      <w:r w:rsidRPr="00B205D7" w:rsidR="004901B9">
        <w:t xml:space="preserve"> opinion claim</w:t>
      </w:r>
      <w:r w:rsidRPr="00B205D7" w:rsidR="00E20A57">
        <w:t xml:space="preserve">. </w:t>
      </w:r>
    </w:p>
    <w:p w:rsidRPr="00B205D7" w:rsidR="00C9539C" w:rsidP="00C9539C" w:rsidRDefault="00C9539C" w14:paraId="1B232891" w14:textId="6CF37768">
      <w:pPr>
        <w:spacing w:line="480" w:lineRule="auto"/>
        <w:outlineLvl w:val="0"/>
      </w:pPr>
      <w:r w:rsidRPr="00B205D7">
        <w:t xml:space="preserve">Respectfully submitted this </w:t>
      </w:r>
      <w:r w:rsidR="003D2E6D">
        <w:t>20</w:t>
      </w:r>
      <w:r w:rsidRPr="00B205D7">
        <w:rPr>
          <w:vertAlign w:val="superscript"/>
        </w:rPr>
        <w:t>th</w:t>
      </w:r>
      <w:r w:rsidRPr="00B205D7">
        <w:t xml:space="preserve"> day of February 2019.</w:t>
      </w:r>
    </w:p>
    <w:p w:rsidRPr="00B205D7" w:rsidR="00EA47F4" w:rsidP="00C9539C" w:rsidRDefault="00EA47F4" w14:paraId="2B592F2C" w14:textId="77777777">
      <w:pPr>
        <w:spacing w:line="480" w:lineRule="auto"/>
        <w:outlineLvl w:val="0"/>
      </w:pPr>
    </w:p>
    <w:p w:rsidRPr="00B205D7" w:rsidR="00C9539C" w:rsidP="00724521" w:rsidRDefault="00C9539C" w14:paraId="2ED806B6" w14:textId="77777777">
      <w:r w:rsidRPr="00B205D7">
        <w:t>________________________________</w:t>
      </w:r>
    </w:p>
    <w:p w:rsidRPr="00B205D7" w:rsidR="00C9539C" w:rsidP="00B205D7" w:rsidRDefault="00C9539C" w14:paraId="30864B43" w14:textId="77777777">
      <w:pPr>
        <w:outlineLvl w:val="0"/>
      </w:pPr>
      <w:proofErr w:type="spellStart"/>
      <w:r w:rsidRPr="00B205D7">
        <w:t>Anjum</w:t>
      </w:r>
      <w:proofErr w:type="spellEnd"/>
      <w:r w:rsidRPr="00B205D7">
        <w:t xml:space="preserve"> Gupta</w:t>
      </w:r>
    </w:p>
    <w:p w:rsidRPr="00B205D7" w:rsidR="00C9539C" w:rsidP="00C9539C" w:rsidRDefault="00C9539C" w14:paraId="2B020655" w14:textId="77777777">
      <w:r w:rsidRPr="00B205D7">
        <w:t>Immigrant Rights Clinic</w:t>
      </w:r>
    </w:p>
    <w:p w:rsidRPr="00B205D7" w:rsidR="00C9539C" w:rsidP="00C9539C" w:rsidRDefault="00C9539C" w14:paraId="07B9BF2D" w14:textId="77777777">
      <w:r w:rsidRPr="00B205D7">
        <w:t>Rutgers School of Law</w:t>
      </w:r>
    </w:p>
    <w:p w:rsidRPr="00B205D7" w:rsidR="00C9539C" w:rsidP="00C9539C" w:rsidRDefault="00C9539C" w14:paraId="7BE7E215" w14:textId="77777777">
      <w:r w:rsidRPr="00B205D7">
        <w:lastRenderedPageBreak/>
        <w:t>123 Washington Street, 4th Floor</w:t>
      </w:r>
    </w:p>
    <w:p w:rsidRPr="00B205D7" w:rsidR="00C9539C" w:rsidP="00C9539C" w:rsidRDefault="00C9539C" w14:paraId="09D93D70" w14:textId="77777777">
      <w:r w:rsidRPr="00B205D7">
        <w:t>Newark, NJ 07102</w:t>
      </w:r>
    </w:p>
    <w:p w:rsidRPr="00B205D7" w:rsidR="00C9539C" w:rsidP="00C9539C" w:rsidRDefault="00C9539C" w14:paraId="6E16A443" w14:textId="77777777">
      <w:r w:rsidRPr="00B205D7">
        <w:t>(973) 353-5292</w:t>
      </w:r>
    </w:p>
    <w:p w:rsidRPr="00B205D7" w:rsidR="00C9539C" w:rsidP="00C9539C" w:rsidRDefault="00C9539C" w14:paraId="75A88F7B" w14:textId="77777777">
      <w:r w:rsidRPr="00B205D7">
        <w:t>EOIR ID Number: NW153</w:t>
      </w:r>
    </w:p>
    <w:p w:rsidRPr="00B205D7" w:rsidR="002C5F3B" w:rsidRDefault="002C5F3B" w14:paraId="2AC140EE" w14:textId="6358114E">
      <w:r w:rsidRPr="00B205D7">
        <w:br w:type="page"/>
      </w:r>
    </w:p>
    <w:p w:rsidRPr="00B205D7" w:rsidR="00C9539C" w:rsidP="00C9539C" w:rsidRDefault="00C9539C" w14:paraId="2CD98ACA" w14:textId="77777777">
      <w:pPr>
        <w:spacing w:line="480" w:lineRule="auto"/>
        <w:jc w:val="center"/>
        <w:outlineLvl w:val="0"/>
        <w:rPr>
          <w:b/>
          <w:u w:val="single"/>
        </w:rPr>
      </w:pPr>
      <w:r w:rsidRPr="00B205D7">
        <w:rPr>
          <w:b/>
          <w:u w:val="single"/>
        </w:rPr>
        <w:lastRenderedPageBreak/>
        <w:t>CERTIFICATE OF SERVICE</w:t>
      </w:r>
    </w:p>
    <w:p w:rsidRPr="00B205D7" w:rsidR="00C9539C" w:rsidP="00CC1C02" w:rsidRDefault="00C9539C" w14:paraId="30AE2546" w14:textId="7F04212E">
      <w:pPr>
        <w:spacing w:line="480" w:lineRule="auto"/>
        <w:ind w:firstLine="720"/>
      </w:pPr>
      <w:r w:rsidRPr="00B205D7">
        <w:t xml:space="preserve">I, </w:t>
      </w:r>
      <w:proofErr w:type="spellStart"/>
      <w:r w:rsidRPr="00B205D7">
        <w:t>Anjum</w:t>
      </w:r>
      <w:proofErr w:type="spellEnd"/>
      <w:r w:rsidRPr="00B205D7">
        <w:t xml:space="preserve"> Gupta, certify that on February </w:t>
      </w:r>
      <w:r w:rsidR="003D2E6D">
        <w:t>20</w:t>
      </w:r>
      <w:r w:rsidRPr="00B205D7">
        <w:t xml:space="preserve">, 2019, I mailed a complete copy of the foregoing Respondent’s Brief to DHS Counsel at </w:t>
      </w:r>
      <w:r w:rsidRPr="00B205D7" w:rsidR="00CC1C02">
        <w:t>625 Evans Street Room 135 Elizabeth, NJ, 07201.</w:t>
      </w:r>
    </w:p>
    <w:p w:rsidRPr="00B205D7" w:rsidR="00C9539C" w:rsidP="00C9539C" w:rsidRDefault="00C9539C" w14:paraId="23D8C99F" w14:textId="77777777">
      <w:pPr>
        <w:spacing w:line="480" w:lineRule="auto"/>
      </w:pPr>
    </w:p>
    <w:p w:rsidRPr="00B205D7" w:rsidR="00C9539C" w:rsidP="00724521" w:rsidRDefault="00C9539C" w14:paraId="4EBB8E69" w14:textId="77777777">
      <w:r w:rsidRPr="00B205D7">
        <w:tab/>
      </w:r>
      <w:r w:rsidRPr="00B205D7">
        <w:tab/>
      </w:r>
      <w:r w:rsidRPr="00B205D7">
        <w:tab/>
      </w:r>
      <w:r w:rsidRPr="00B205D7">
        <w:tab/>
      </w:r>
      <w:r w:rsidRPr="00B205D7">
        <w:tab/>
      </w:r>
      <w:r w:rsidRPr="00B205D7">
        <w:tab/>
      </w:r>
      <w:r w:rsidRPr="00B205D7">
        <w:tab/>
      </w:r>
      <w:r w:rsidRPr="00B205D7">
        <w:tab/>
      </w:r>
      <w:r w:rsidRPr="00B205D7">
        <w:t>______________________________</w:t>
      </w:r>
    </w:p>
    <w:p w:rsidRPr="00B205D7" w:rsidR="00C9539C" w:rsidP="00724521" w:rsidRDefault="00C9539C" w14:paraId="0C532E16" w14:textId="77777777">
      <w:pPr>
        <w:outlineLvl w:val="0"/>
      </w:pPr>
      <w:r w:rsidRPr="00B205D7">
        <w:tab/>
      </w:r>
      <w:r w:rsidRPr="00B205D7">
        <w:tab/>
      </w:r>
      <w:r w:rsidRPr="00B205D7">
        <w:tab/>
      </w:r>
      <w:r w:rsidRPr="00B205D7">
        <w:tab/>
      </w:r>
      <w:r w:rsidRPr="00B205D7">
        <w:tab/>
      </w:r>
      <w:r w:rsidRPr="00B205D7">
        <w:tab/>
      </w:r>
      <w:r w:rsidRPr="00B205D7">
        <w:tab/>
      </w:r>
      <w:r w:rsidRPr="00B205D7">
        <w:tab/>
      </w:r>
      <w:proofErr w:type="spellStart"/>
      <w:r w:rsidRPr="00B205D7">
        <w:t>Anjum</w:t>
      </w:r>
      <w:proofErr w:type="spellEnd"/>
      <w:r w:rsidRPr="00B205D7">
        <w:t xml:space="preserve"> Gupta, Esq.</w:t>
      </w:r>
    </w:p>
    <w:p w:rsidRPr="00B205D7" w:rsidR="00C9539C" w:rsidP="00724521" w:rsidRDefault="00C9539C" w14:paraId="6E1BB098" w14:textId="4ACB0A1B"/>
    <w:p w:rsidRPr="00B205D7" w:rsidR="00972C29" w:rsidP="00724521" w:rsidRDefault="00972C29" w14:paraId="6A4F979B" w14:textId="77777777"/>
    <w:p w:rsidRPr="00B205D7" w:rsidR="00C9539C" w:rsidP="00724521" w:rsidRDefault="00C9539C" w14:paraId="3752B6AC" w14:textId="77777777">
      <w:r w:rsidRPr="00B205D7">
        <w:tab/>
      </w:r>
      <w:r w:rsidRPr="00B205D7">
        <w:tab/>
      </w:r>
      <w:r w:rsidRPr="00B205D7">
        <w:tab/>
      </w:r>
      <w:r w:rsidRPr="00B205D7">
        <w:tab/>
      </w:r>
      <w:r w:rsidRPr="00B205D7">
        <w:tab/>
      </w:r>
      <w:r w:rsidRPr="00B205D7">
        <w:tab/>
      </w:r>
      <w:r w:rsidRPr="00B205D7">
        <w:tab/>
      </w:r>
      <w:r w:rsidRPr="00B205D7">
        <w:tab/>
      </w:r>
      <w:r w:rsidRPr="00B205D7">
        <w:t>______________________________</w:t>
      </w:r>
    </w:p>
    <w:p w:rsidRPr="00B205D7" w:rsidR="00C9539C" w:rsidP="00724521" w:rsidRDefault="00C9539C" w14:paraId="7B36BD45" w14:textId="77777777">
      <w:pPr>
        <w:outlineLvl w:val="0"/>
      </w:pPr>
      <w:r w:rsidRPr="00B205D7">
        <w:tab/>
      </w:r>
      <w:r w:rsidRPr="00B205D7">
        <w:tab/>
      </w:r>
      <w:r w:rsidRPr="00B205D7">
        <w:tab/>
      </w:r>
      <w:r w:rsidRPr="00B205D7">
        <w:tab/>
      </w:r>
      <w:r w:rsidRPr="00B205D7">
        <w:tab/>
      </w:r>
      <w:r w:rsidRPr="00B205D7">
        <w:tab/>
      </w:r>
      <w:r w:rsidRPr="00B205D7">
        <w:tab/>
      </w:r>
      <w:r w:rsidRPr="00B205D7">
        <w:tab/>
      </w:r>
      <w:r w:rsidRPr="00B205D7">
        <w:t>Date</w:t>
      </w:r>
    </w:p>
    <w:p w:rsidRPr="00B205D7" w:rsidR="003123D6" w:rsidP="00C9539C" w:rsidRDefault="003123D6" w14:paraId="1337946B" w14:textId="77777777">
      <w:pPr>
        <w:spacing w:line="480" w:lineRule="auto"/>
        <w:outlineLvl w:val="0"/>
        <w:rPr>
          <w:b/>
          <w:u w:val="single"/>
        </w:rPr>
      </w:pPr>
    </w:p>
    <w:p w:rsidRPr="00B205D7" w:rsidR="003123D6" w:rsidP="003123D6" w:rsidRDefault="003123D6" w14:paraId="5645787A" w14:textId="77777777">
      <w:pPr>
        <w:spacing w:line="480" w:lineRule="auto"/>
        <w:jc w:val="center"/>
        <w:outlineLvl w:val="0"/>
        <w:rPr>
          <w:b/>
          <w:u w:val="single"/>
        </w:rPr>
      </w:pPr>
    </w:p>
    <w:p w:rsidRPr="00B205D7" w:rsidR="003123D6" w:rsidP="003123D6" w:rsidRDefault="003123D6" w14:paraId="422BD595" w14:textId="77777777">
      <w:pPr>
        <w:spacing w:line="480" w:lineRule="auto"/>
        <w:outlineLvl w:val="0"/>
      </w:pPr>
      <w:r w:rsidRPr="00B205D7">
        <w:tab/>
      </w:r>
      <w:r w:rsidRPr="00B205D7">
        <w:tab/>
      </w:r>
      <w:r w:rsidRPr="00B205D7">
        <w:tab/>
      </w:r>
      <w:r w:rsidRPr="00B205D7">
        <w:tab/>
      </w:r>
      <w:r w:rsidRPr="00B205D7">
        <w:tab/>
      </w:r>
      <w:r w:rsidRPr="00B205D7">
        <w:tab/>
      </w:r>
      <w:r w:rsidRPr="00B205D7">
        <w:tab/>
      </w:r>
      <w:r w:rsidRPr="00B205D7">
        <w:tab/>
      </w:r>
    </w:p>
    <w:p w:rsidRPr="00B205D7" w:rsidR="003123D6" w:rsidP="003123D6" w:rsidRDefault="003123D6" w14:paraId="26AD993C" w14:textId="77777777">
      <w:pPr>
        <w:spacing w:line="480" w:lineRule="auto"/>
      </w:pPr>
    </w:p>
    <w:p w:rsidRPr="00B205D7" w:rsidR="003123D6" w:rsidP="003123D6" w:rsidRDefault="003123D6" w14:paraId="6CDC600C" w14:textId="77777777">
      <w:pPr>
        <w:spacing w:line="480" w:lineRule="auto"/>
      </w:pPr>
    </w:p>
    <w:p w:rsidRPr="00B205D7" w:rsidR="00304114" w:rsidRDefault="00304114" w14:paraId="5D5D909D" w14:textId="77777777"/>
    <w:sectPr w:rsidRPr="00B205D7" w:rsidR="00304114" w:rsidSect="00304114">
      <w:footerReference w:type="even" r:id="rId9"/>
      <w:footerReference w:type="default" r:id="rId10"/>
      <w:pgSz w:w="12240" w:h="15840" w:orient="portrait"/>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0CF96" w16cid:durableId="2005C7CE"/>
  <w16cid:commentId w16cid:paraId="1A1AC816" w16cid:durableId="2005C951"/>
  <w16cid:commentId w16cid:paraId="4AA43D84" w16cid:durableId="2005CB50"/>
  <w16cid:commentId w16cid:paraId="6DFEB971" w16cid:durableId="2005CCD1"/>
  <w16cid:commentId w16cid:paraId="5E8830C3" w16cid:durableId="2005CD08"/>
  <w16cid:commentId w16cid:paraId="45216B2B" w16cid:durableId="2005D3BE"/>
  <w16cid:commentId w16cid:paraId="57B48EFB" w16cid:durableId="2005D514"/>
  <w16cid:commentId w16cid:paraId="75E8ABC9" w16cid:durableId="2005D9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96" w:rsidP="003123D6" w:rsidRDefault="00415B96" w14:paraId="5693CD5E" w14:textId="77777777">
      <w:r>
        <w:separator/>
      </w:r>
    </w:p>
  </w:endnote>
  <w:endnote w:type="continuationSeparator" w:id="0">
    <w:p w:rsidR="00415B96" w:rsidP="003123D6" w:rsidRDefault="00415B96" w14:paraId="013BE8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D" w:rsidP="00304114" w:rsidRDefault="0081089D" w14:paraId="2ABAE164"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089D" w:rsidRDefault="0081089D" w14:paraId="5E659543"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10282"/>
      <w:docPartObj>
        <w:docPartGallery w:val="Page Numbers (Bottom of Page)"/>
        <w:docPartUnique/>
      </w:docPartObj>
    </w:sdtPr>
    <w:sdtEndPr>
      <w:rPr>
        <w:noProof/>
      </w:rPr>
    </w:sdtEndPr>
    <w:sdtContent>
      <w:p w:rsidR="00B205D7" w:rsidRDefault="00B205D7" w14:paraId="7CF2A942" w14:textId="189DF166">
        <w:pPr>
          <w:pStyle w:val="Footer"/>
          <w:jc w:val="center"/>
        </w:pPr>
        <w:r>
          <w:fldChar w:fldCharType="begin"/>
        </w:r>
        <w:r>
          <w:instrText xml:space="preserve"> PAGE   \* MERGEFORMAT </w:instrText>
        </w:r>
        <w:r>
          <w:fldChar w:fldCharType="separate"/>
        </w:r>
        <w:r w:rsidR="00DC6B94">
          <w:rPr>
            <w:noProof/>
          </w:rPr>
          <w:t>21</w:t>
        </w:r>
        <w:r>
          <w:rPr>
            <w:noProof/>
          </w:rPr>
          <w:fldChar w:fldCharType="end"/>
        </w:r>
      </w:p>
    </w:sdtContent>
  </w:sdt>
  <w:p w:rsidR="0081089D" w:rsidP="002B4E40" w:rsidRDefault="00B205D7" w14:paraId="4BF23001" w14:textId="232F6C4E">
    <w:pPr>
      <w:pStyle w:val="Footer"/>
      <w:jc w:val="right"/>
    </w:pPr>
    <w:r w:rsidRPr="003123D6">
      <w:rPr>
        <w:rFonts w:hint="eastAsia" w:asciiTheme="majorEastAsia" w:hAnsiTheme="majorEastAsia" w:cstheme="majorEastAsia"/>
      </w:rPr>
      <w:t>A-099-830-662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96" w:rsidP="003123D6" w:rsidRDefault="00415B96" w14:paraId="4B21DEB9" w14:textId="77777777">
      <w:r>
        <w:separator/>
      </w:r>
    </w:p>
  </w:footnote>
  <w:footnote w:type="continuationSeparator" w:id="0">
    <w:p w:rsidR="00415B96" w:rsidP="003123D6" w:rsidRDefault="00415B96" w14:paraId="1F5D700F" w14:textId="77777777">
      <w:r>
        <w:continuationSeparator/>
      </w:r>
    </w:p>
  </w:footnote>
  <w:footnote w:id="1">
    <w:p w:rsidRPr="00724521" w:rsidR="003D2E6D" w:rsidP="003D2E6D" w:rsidRDefault="003D2E6D" w14:paraId="7649E0B5" w14:textId="06A90224">
      <w:pPr>
        <w:pStyle w:val="FootnoteText"/>
        <w:rPr>
          <w:sz w:val="20"/>
          <w:szCs w:val="20"/>
        </w:rPr>
      </w:pPr>
      <w:r w:rsidRPr="00724521">
        <w:rPr>
          <w:rStyle w:val="FootnoteReference"/>
          <w:sz w:val="20"/>
          <w:szCs w:val="20"/>
        </w:rPr>
        <w:footnoteRef/>
      </w:r>
      <w:r>
        <w:rPr>
          <w:sz w:val="20"/>
          <w:szCs w:val="20"/>
        </w:rPr>
        <w:t xml:space="preserve"> Counsel initially filed a brief in this case on February 7, 2019</w:t>
      </w:r>
      <w:r w:rsidR="003A3AC4">
        <w:rPr>
          <w:sz w:val="20"/>
          <w:szCs w:val="20"/>
        </w:rPr>
        <w:t>, in accordance with the briefing deadline of February 8, 2019</w:t>
      </w:r>
      <w:r>
        <w:rPr>
          <w:sz w:val="20"/>
          <w:szCs w:val="20"/>
        </w:rPr>
        <w:t xml:space="preserve">. Thereafter, the Board mailed a corrected copy of the </w:t>
      </w:r>
      <w:r w:rsidR="003A3AC4">
        <w:rPr>
          <w:sz w:val="20"/>
          <w:szCs w:val="20"/>
        </w:rPr>
        <w:t>Record of Proceedings (</w:t>
      </w:r>
      <w:r>
        <w:rPr>
          <w:sz w:val="20"/>
          <w:szCs w:val="20"/>
        </w:rPr>
        <w:t>ROP</w:t>
      </w:r>
      <w:r w:rsidR="003A3AC4">
        <w:rPr>
          <w:sz w:val="20"/>
          <w:szCs w:val="20"/>
        </w:rPr>
        <w:t>)</w:t>
      </w:r>
      <w:r>
        <w:rPr>
          <w:sz w:val="20"/>
          <w:szCs w:val="20"/>
        </w:rPr>
        <w:t xml:space="preserve"> to counsel and re-issued the briefing schedule, indicating a </w:t>
      </w:r>
      <w:r w:rsidR="0058280A">
        <w:rPr>
          <w:sz w:val="20"/>
          <w:szCs w:val="20"/>
        </w:rPr>
        <w:t>new briefing deadline of March 4</w:t>
      </w:r>
      <w:r>
        <w:rPr>
          <w:sz w:val="20"/>
          <w:szCs w:val="20"/>
        </w:rPr>
        <w:t xml:space="preserve">, 2019. Counsel are filing the instant brief in accordance with the updated briefing schedule. Other than this footnote, this brief is identical to the one filed on February 7, 2019, in all respects.  </w:t>
      </w:r>
    </w:p>
  </w:footnote>
  <w:footnote w:id="2">
    <w:p w:rsidRPr="00972C29" w:rsidR="0081089D" w:rsidP="003123D6" w:rsidRDefault="0081089D" w14:paraId="25874627" w14:textId="77777777">
      <w:pPr>
        <w:pStyle w:val="FootnoteText"/>
        <w:rPr>
          <w:sz w:val="20"/>
          <w:szCs w:val="20"/>
        </w:rPr>
      </w:pPr>
      <w:r w:rsidRPr="00972C29">
        <w:rPr>
          <w:rStyle w:val="FootnoteReference"/>
          <w:sz w:val="20"/>
          <w:szCs w:val="20"/>
        </w:rPr>
        <w:footnoteRef/>
      </w:r>
      <w:r w:rsidRPr="00972C29">
        <w:rPr>
          <w:sz w:val="20"/>
          <w:szCs w:val="20"/>
        </w:rPr>
        <w:t xml:space="preserve"> Tr. at 14.</w:t>
      </w:r>
    </w:p>
  </w:footnote>
  <w:footnote w:id="3">
    <w:p w:rsidRPr="00972C29" w:rsidR="0081089D" w:rsidP="003123D6" w:rsidRDefault="0081089D" w14:paraId="519AFFB6" w14:textId="30644EF1">
      <w:pPr>
        <w:pStyle w:val="FootnoteText"/>
        <w:rPr>
          <w:sz w:val="20"/>
          <w:szCs w:val="20"/>
        </w:rPr>
      </w:pPr>
      <w:r w:rsidRPr="00972C29">
        <w:rPr>
          <w:rStyle w:val="FootnoteReference"/>
          <w:sz w:val="20"/>
          <w:szCs w:val="20"/>
        </w:rPr>
        <w:footnoteRef/>
      </w:r>
      <w:r w:rsidRPr="00972C29">
        <w:rPr>
          <w:sz w:val="20"/>
          <w:szCs w:val="20"/>
        </w:rPr>
        <w:t xml:space="preserve"> </w:t>
      </w:r>
      <w:bookmarkStart w:name="OLE_LINK3" w:id="1"/>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6; Tr. at 16.</w:t>
      </w:r>
      <w:bookmarkEnd w:id="1"/>
    </w:p>
  </w:footnote>
  <w:footnote w:id="4">
    <w:p w:rsidRPr="00972C29" w:rsidR="0081089D" w:rsidP="003123D6" w:rsidRDefault="0081089D" w14:paraId="4250D623" w14:textId="7D4319E1">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6.</w:t>
      </w:r>
    </w:p>
  </w:footnote>
  <w:footnote w:id="5">
    <w:p w:rsidRPr="00972C29" w:rsidR="0081089D" w:rsidP="003123D6" w:rsidRDefault="0081089D" w14:paraId="3233E192" w14:textId="77777777">
      <w:pPr>
        <w:pStyle w:val="FootnoteText"/>
        <w:rPr>
          <w:sz w:val="20"/>
          <w:szCs w:val="20"/>
        </w:rPr>
      </w:pPr>
      <w:r w:rsidRPr="00972C29">
        <w:rPr>
          <w:rStyle w:val="FootnoteReference"/>
          <w:sz w:val="20"/>
          <w:szCs w:val="20"/>
        </w:rPr>
        <w:footnoteRef/>
      </w:r>
      <w:r w:rsidRPr="00972C29">
        <w:rPr>
          <w:sz w:val="20"/>
          <w:szCs w:val="20"/>
        </w:rPr>
        <w:t xml:space="preserve"> Tr. at 18.</w:t>
      </w:r>
    </w:p>
  </w:footnote>
  <w:footnote w:id="6">
    <w:p w:rsidRPr="00972C29" w:rsidR="0081089D" w:rsidP="003123D6" w:rsidRDefault="0081089D" w14:paraId="0B616440" w14:textId="77777777">
      <w:pPr>
        <w:pStyle w:val="FootnoteText"/>
        <w:rPr>
          <w:sz w:val="20"/>
          <w:szCs w:val="20"/>
        </w:rPr>
      </w:pPr>
      <w:r w:rsidRPr="00972C29">
        <w:rPr>
          <w:rStyle w:val="FootnoteReference"/>
          <w:sz w:val="20"/>
          <w:szCs w:val="20"/>
        </w:rPr>
        <w:footnoteRef/>
      </w:r>
      <w:r w:rsidRPr="00972C29">
        <w:rPr>
          <w:sz w:val="20"/>
          <w:szCs w:val="20"/>
        </w:rPr>
        <w:t xml:space="preserve"> Tr. at 17-18.</w:t>
      </w:r>
    </w:p>
  </w:footnote>
  <w:footnote w:id="7">
    <w:p w:rsidRPr="00972C29" w:rsidR="0081089D" w:rsidP="003123D6" w:rsidRDefault="0081089D" w14:paraId="324FA64B" w14:textId="72942106">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5.</w:t>
      </w:r>
    </w:p>
  </w:footnote>
  <w:footnote w:id="8">
    <w:p w:rsidRPr="00972C29" w:rsidR="0081089D" w:rsidP="003123D6" w:rsidRDefault="0081089D" w14:paraId="34AB6A2E" w14:textId="6C764C48">
      <w:pPr>
        <w:pStyle w:val="FootnoteText"/>
        <w:rPr>
          <w:sz w:val="20"/>
          <w:szCs w:val="20"/>
        </w:rPr>
      </w:pPr>
      <w:r w:rsidRPr="00972C29">
        <w:rPr>
          <w:rStyle w:val="FootnoteReference"/>
          <w:sz w:val="20"/>
          <w:szCs w:val="20"/>
        </w:rPr>
        <w:footnoteRef/>
      </w:r>
      <w:r w:rsidRPr="00972C29">
        <w:rPr>
          <w:sz w:val="20"/>
          <w:szCs w:val="20"/>
        </w:rPr>
        <w:t xml:space="preserve"> </w:t>
      </w:r>
      <w:bookmarkStart w:name="OLE_LINK9" w:id="2"/>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2.</w:t>
      </w:r>
      <w:bookmarkEnd w:id="2"/>
    </w:p>
  </w:footnote>
  <w:footnote w:id="9">
    <w:p w:rsidRPr="00972C29" w:rsidR="0081089D" w:rsidP="003123D6" w:rsidRDefault="0081089D" w14:paraId="2F1545DF" w14:textId="2A6E6F23">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2.</w:t>
      </w:r>
    </w:p>
  </w:footnote>
  <w:footnote w:id="10">
    <w:p w:rsidRPr="00972C29" w:rsidR="0081089D" w:rsidP="003123D6" w:rsidRDefault="0081089D" w14:paraId="5E2649B6" w14:textId="48ED23C4">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2.</w:t>
      </w:r>
    </w:p>
  </w:footnote>
  <w:footnote w:id="11">
    <w:p w:rsidRPr="00972C29" w:rsidR="0081089D" w:rsidP="003123D6" w:rsidRDefault="0081089D" w14:paraId="7DE6B2D1" w14:textId="330A6354">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3.</w:t>
      </w:r>
    </w:p>
  </w:footnote>
  <w:footnote w:id="12">
    <w:p w:rsidRPr="00972C29" w:rsidR="0081089D" w:rsidP="003123D6" w:rsidRDefault="0081089D" w14:paraId="1666E4C1" w14:textId="54148CCB">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3.</w:t>
      </w:r>
    </w:p>
  </w:footnote>
  <w:footnote w:id="13">
    <w:p w:rsidRPr="00972C29" w:rsidR="0081089D" w:rsidP="003123D6" w:rsidRDefault="0081089D" w14:paraId="04627817" w14:textId="08A8B3E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3.</w:t>
      </w:r>
    </w:p>
  </w:footnote>
  <w:footnote w:id="14">
    <w:p w:rsidRPr="00972C29" w:rsidR="0081089D" w:rsidP="003123D6" w:rsidRDefault="0081089D" w14:paraId="50A5B1C4" w14:textId="666112B3">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3.</w:t>
      </w:r>
    </w:p>
  </w:footnote>
  <w:footnote w:id="15">
    <w:p w:rsidRPr="00972C29" w:rsidR="0081089D" w:rsidP="003123D6" w:rsidRDefault="0081089D" w14:paraId="7FA19ADE" w14:textId="77777777">
      <w:pPr>
        <w:pStyle w:val="FootnoteText"/>
        <w:rPr>
          <w:sz w:val="20"/>
          <w:szCs w:val="20"/>
        </w:rPr>
      </w:pPr>
      <w:r w:rsidRPr="00972C29">
        <w:rPr>
          <w:rStyle w:val="FootnoteReference"/>
          <w:sz w:val="20"/>
          <w:szCs w:val="20"/>
        </w:rPr>
        <w:footnoteRef/>
      </w:r>
      <w:r w:rsidRPr="00972C29">
        <w:rPr>
          <w:sz w:val="20"/>
          <w:szCs w:val="20"/>
        </w:rPr>
        <w:t xml:space="preserve"> Tr. at 19.</w:t>
      </w:r>
    </w:p>
  </w:footnote>
  <w:footnote w:id="16">
    <w:p w:rsidRPr="00972C29" w:rsidR="0081089D" w:rsidP="003123D6" w:rsidRDefault="0081089D" w14:paraId="75BF41B6" w14:textId="77777777">
      <w:pPr>
        <w:pStyle w:val="FootnoteText"/>
        <w:rPr>
          <w:sz w:val="20"/>
          <w:szCs w:val="20"/>
        </w:rPr>
      </w:pPr>
      <w:r w:rsidRPr="00972C29">
        <w:rPr>
          <w:rStyle w:val="FootnoteReference"/>
          <w:sz w:val="20"/>
          <w:szCs w:val="20"/>
        </w:rPr>
        <w:footnoteRef/>
      </w:r>
      <w:r w:rsidRPr="00972C29">
        <w:rPr>
          <w:sz w:val="20"/>
          <w:szCs w:val="20"/>
        </w:rPr>
        <w:t xml:space="preserve"> </w:t>
      </w:r>
      <w:bookmarkStart w:name="OLE_LINK4" w:id="3"/>
      <w:r w:rsidRPr="00972C29">
        <w:rPr>
          <w:sz w:val="20"/>
          <w:szCs w:val="20"/>
        </w:rPr>
        <w:t>Tr. at 18.</w:t>
      </w:r>
      <w:bookmarkEnd w:id="3"/>
    </w:p>
  </w:footnote>
  <w:footnote w:id="17">
    <w:p w:rsidRPr="00972C29" w:rsidR="0081089D" w:rsidP="003123D6" w:rsidRDefault="0081089D" w14:paraId="4548E81D" w14:textId="581383A3">
      <w:pPr>
        <w:pStyle w:val="FootnoteText"/>
        <w:rPr>
          <w:sz w:val="20"/>
          <w:szCs w:val="20"/>
        </w:rPr>
      </w:pPr>
      <w:r w:rsidRPr="00972C29">
        <w:rPr>
          <w:rStyle w:val="FootnoteReference"/>
          <w:sz w:val="20"/>
          <w:szCs w:val="20"/>
        </w:rPr>
        <w:footnoteRef/>
      </w:r>
      <w:r w:rsidRPr="00972C29">
        <w:rPr>
          <w:sz w:val="20"/>
          <w:szCs w:val="20"/>
        </w:rPr>
        <w:t xml:space="preserve"> </w:t>
      </w:r>
      <w:bookmarkStart w:name="OLE_LINK16" w:id="4"/>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bookmarkEnd w:id="4"/>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7.</w:t>
      </w:r>
    </w:p>
  </w:footnote>
  <w:footnote w:id="18">
    <w:p w:rsidRPr="00972C29" w:rsidR="0081089D" w:rsidP="003123D6" w:rsidRDefault="0081089D" w14:paraId="18FD8A43" w14:textId="4CED2818">
      <w:pPr>
        <w:pStyle w:val="FootnoteText"/>
        <w:rPr>
          <w:sz w:val="20"/>
          <w:szCs w:val="20"/>
        </w:rPr>
      </w:pPr>
      <w:r w:rsidRPr="00972C29">
        <w:rPr>
          <w:rStyle w:val="FootnoteReference"/>
          <w:sz w:val="20"/>
          <w:szCs w:val="20"/>
        </w:rPr>
        <w:footnoteRef/>
      </w:r>
      <w:r w:rsidRPr="00972C29">
        <w:rPr>
          <w:sz w:val="20"/>
          <w:szCs w:val="20"/>
        </w:rPr>
        <w:t xml:space="preserve"> </w:t>
      </w:r>
      <w:bookmarkStart w:name="OLE_LINK7" w:id="5"/>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7.</w:t>
      </w:r>
      <w:bookmarkEnd w:id="5"/>
    </w:p>
  </w:footnote>
  <w:footnote w:id="19">
    <w:p w:rsidRPr="00972C29" w:rsidR="0081089D" w:rsidP="003123D6" w:rsidRDefault="0081089D" w14:paraId="51ADEB21" w14:textId="34935F55">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7.</w:t>
      </w:r>
    </w:p>
  </w:footnote>
  <w:footnote w:id="20">
    <w:p w:rsidRPr="00972C29" w:rsidR="0081089D" w:rsidP="003123D6" w:rsidRDefault="0081089D" w14:paraId="18223312" w14:textId="31F8A2E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7, April 2008 Decentralized Attorney of </w:t>
      </w:r>
      <w:r w:rsidRPr="00972C29" w:rsidR="00CE0884">
        <w:rPr>
          <w:sz w:val="20"/>
          <w:szCs w:val="20"/>
        </w:rPr>
        <w:t>Investigation</w:t>
      </w:r>
      <w:r w:rsidRPr="00972C29">
        <w:rPr>
          <w:sz w:val="20"/>
          <w:szCs w:val="20"/>
        </w:rPr>
        <w:t xml:space="preserve"> in </w:t>
      </w:r>
      <w:proofErr w:type="spellStart"/>
      <w:r w:rsidRPr="00972C29">
        <w:rPr>
          <w:sz w:val="20"/>
          <w:szCs w:val="20"/>
        </w:rPr>
        <w:t>Teopojuma</w:t>
      </w:r>
      <w:proofErr w:type="spellEnd"/>
      <w:r w:rsidRPr="00972C29">
        <w:rPr>
          <w:sz w:val="20"/>
          <w:szCs w:val="20"/>
        </w:rPr>
        <w:t xml:space="preserve"> Complaint; </w:t>
      </w:r>
      <w:proofErr w:type="spellStart"/>
      <w:r w:rsidRPr="00972C29" w:rsidR="00CE0884">
        <w:rPr>
          <w:sz w:val="20"/>
          <w:szCs w:val="20"/>
        </w:rPr>
        <w:t>Exh</w:t>
      </w:r>
      <w:proofErr w:type="spellEnd"/>
      <w:r w:rsidRPr="00972C29" w:rsidR="00CE0884">
        <w:rPr>
          <w:sz w:val="20"/>
          <w:szCs w:val="20"/>
        </w:rPr>
        <w:t xml:space="preserve">. </w:t>
      </w:r>
      <w:r w:rsidR="00CE0884">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8</w:t>
      </w:r>
      <w:r w:rsidR="00C47D73">
        <w:rPr>
          <w:sz w:val="20"/>
          <w:szCs w:val="20"/>
        </w:rPr>
        <w:t>.</w:t>
      </w:r>
    </w:p>
  </w:footnote>
  <w:footnote w:id="21">
    <w:p w:rsidRPr="00972C29" w:rsidR="0081089D" w:rsidP="003123D6" w:rsidRDefault="0081089D" w14:paraId="730E0A75" w14:textId="2D3A3B4F">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535069">
        <w:rPr>
          <w:sz w:val="20"/>
          <w:szCs w:val="20"/>
        </w:rPr>
        <w:t>Exh</w:t>
      </w:r>
      <w:proofErr w:type="spellEnd"/>
      <w:r w:rsidRPr="00972C29" w:rsidR="00535069">
        <w:rPr>
          <w:sz w:val="20"/>
          <w:szCs w:val="20"/>
        </w:rPr>
        <w:t xml:space="preserve">. </w:t>
      </w:r>
      <w:r w:rsidR="00535069">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8.</w:t>
      </w:r>
    </w:p>
  </w:footnote>
  <w:footnote w:id="22">
    <w:p w:rsidRPr="00972C29" w:rsidR="0081089D" w:rsidP="003123D6" w:rsidRDefault="0081089D" w14:paraId="7CB4314C" w14:textId="228C424A">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7; Exh.7, Secretariat of Agriculture, Cattle, Urban Development, Fishery and Nutrition Termination letter.</w:t>
      </w:r>
    </w:p>
  </w:footnote>
  <w:footnote w:id="23">
    <w:p w:rsidRPr="00972C29" w:rsidR="0081089D" w:rsidP="003123D6" w:rsidRDefault="0081089D" w14:paraId="27D4281F" w14:textId="68CAEA1B">
      <w:pPr>
        <w:pStyle w:val="FootnoteText"/>
        <w:rPr>
          <w:sz w:val="20"/>
          <w:szCs w:val="20"/>
        </w:rPr>
      </w:pPr>
      <w:r w:rsidRPr="00972C29">
        <w:rPr>
          <w:rStyle w:val="FootnoteReference"/>
          <w:sz w:val="20"/>
          <w:szCs w:val="20"/>
        </w:rPr>
        <w:footnoteRef/>
      </w:r>
      <w:r w:rsidRPr="00972C29">
        <w:rPr>
          <w:sz w:val="20"/>
          <w:szCs w:val="20"/>
        </w:rPr>
        <w:t xml:space="preserve"> </w:t>
      </w:r>
      <w:bookmarkStart w:name="OLE_LINK5" w:id="6"/>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8</w:t>
      </w:r>
      <w:bookmarkEnd w:id="6"/>
      <w:r w:rsidRPr="00972C29">
        <w:rPr>
          <w:sz w:val="20"/>
          <w:szCs w:val="20"/>
        </w:rPr>
        <w:t xml:space="preserve">; </w:t>
      </w:r>
      <w:proofErr w:type="spellStart"/>
      <w:r w:rsidRPr="00972C29">
        <w:rPr>
          <w:sz w:val="20"/>
          <w:szCs w:val="20"/>
        </w:rPr>
        <w:t>Exh</w:t>
      </w:r>
      <w:proofErr w:type="spellEnd"/>
      <w:r w:rsidRPr="00972C29">
        <w:rPr>
          <w:sz w:val="20"/>
          <w:szCs w:val="20"/>
        </w:rPr>
        <w:t xml:space="preserve">. 7, August 2008 Decentralized Attorney of </w:t>
      </w:r>
      <w:r w:rsidRPr="00972C29" w:rsidR="00CE0884">
        <w:rPr>
          <w:sz w:val="20"/>
          <w:szCs w:val="20"/>
        </w:rPr>
        <w:t>Investigation</w:t>
      </w:r>
      <w:r w:rsidRPr="00972C29">
        <w:rPr>
          <w:sz w:val="20"/>
          <w:szCs w:val="20"/>
        </w:rPr>
        <w:t xml:space="preserve"> in </w:t>
      </w:r>
      <w:proofErr w:type="spellStart"/>
      <w:r w:rsidRPr="00972C29">
        <w:rPr>
          <w:sz w:val="20"/>
          <w:szCs w:val="20"/>
        </w:rPr>
        <w:t>Teopojuma</w:t>
      </w:r>
      <w:proofErr w:type="spellEnd"/>
      <w:r w:rsidRPr="00972C29">
        <w:rPr>
          <w:sz w:val="20"/>
          <w:szCs w:val="20"/>
        </w:rPr>
        <w:t xml:space="preserve"> Complaint.</w:t>
      </w:r>
    </w:p>
  </w:footnote>
  <w:footnote w:id="24">
    <w:p w:rsidRPr="00972C29" w:rsidR="0081089D" w:rsidP="003123D6" w:rsidRDefault="0081089D" w14:paraId="1113FC50" w14:textId="1FE18B64">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xml:space="preserve">. ¶ 8; </w:t>
      </w:r>
      <w:proofErr w:type="spellStart"/>
      <w:r w:rsidRPr="00972C29">
        <w:rPr>
          <w:sz w:val="20"/>
          <w:szCs w:val="20"/>
        </w:rPr>
        <w:t>Exh</w:t>
      </w:r>
      <w:proofErr w:type="spellEnd"/>
      <w:r w:rsidRPr="00972C29">
        <w:rPr>
          <w:sz w:val="20"/>
          <w:szCs w:val="20"/>
        </w:rPr>
        <w:t>. 7, August 2008 Secretariat of Health Medical Note.</w:t>
      </w:r>
    </w:p>
  </w:footnote>
  <w:footnote w:id="25">
    <w:p w:rsidRPr="00972C29" w:rsidR="0081089D" w:rsidP="003123D6" w:rsidRDefault="0081089D" w14:paraId="46C354BD" w14:textId="77777777">
      <w:pPr>
        <w:pStyle w:val="FootnoteText"/>
        <w:rPr>
          <w:sz w:val="20"/>
          <w:szCs w:val="20"/>
        </w:rPr>
      </w:pPr>
      <w:r w:rsidRPr="00972C29">
        <w:rPr>
          <w:rStyle w:val="FootnoteReference"/>
          <w:sz w:val="20"/>
          <w:szCs w:val="20"/>
        </w:rPr>
        <w:footnoteRef/>
      </w:r>
      <w:r w:rsidRPr="00972C29">
        <w:rPr>
          <w:sz w:val="20"/>
          <w:szCs w:val="20"/>
        </w:rPr>
        <w:t xml:space="preserve"> Tr. at 23. </w:t>
      </w:r>
    </w:p>
  </w:footnote>
  <w:footnote w:id="26">
    <w:p w:rsidRPr="00972C29" w:rsidR="0081089D" w:rsidP="003123D6" w:rsidRDefault="0081089D" w14:paraId="4E96C208" w14:textId="4063DD1D">
      <w:pPr>
        <w:pStyle w:val="FootnoteText"/>
        <w:rPr>
          <w:sz w:val="20"/>
          <w:szCs w:val="20"/>
        </w:rPr>
      </w:pPr>
      <w:r w:rsidRPr="00972C29">
        <w:rPr>
          <w:rStyle w:val="FootnoteReference"/>
          <w:sz w:val="20"/>
          <w:szCs w:val="20"/>
        </w:rPr>
        <w:footnoteRef/>
      </w:r>
      <w:r w:rsidRPr="00972C29">
        <w:rPr>
          <w:sz w:val="20"/>
          <w:szCs w:val="20"/>
        </w:rPr>
        <w:t xml:space="preserve"> Tr. at 24; </w:t>
      </w:r>
      <w:proofErr w:type="spellStart"/>
      <w:r w:rsidRPr="00972C29" w:rsidR="00BD476A">
        <w:rPr>
          <w:sz w:val="20"/>
          <w:szCs w:val="20"/>
        </w:rPr>
        <w:t>Exh</w:t>
      </w:r>
      <w:proofErr w:type="spellEnd"/>
      <w:r w:rsidRPr="00972C29" w:rsidR="00BD476A">
        <w:rPr>
          <w:sz w:val="20"/>
          <w:szCs w:val="20"/>
        </w:rPr>
        <w:t xml:space="preserve">. 8, </w:t>
      </w:r>
      <w:r w:rsidRPr="00972C29">
        <w:rPr>
          <w:sz w:val="20"/>
          <w:szCs w:val="20"/>
        </w:rPr>
        <w:t xml:space="preserve">Rocio </w:t>
      </w:r>
      <w:proofErr w:type="spellStart"/>
      <w:r w:rsidRPr="00972C29">
        <w:rPr>
          <w:sz w:val="20"/>
          <w:szCs w:val="20"/>
        </w:rPr>
        <w:t>Aff</w:t>
      </w:r>
      <w:proofErr w:type="spellEnd"/>
      <w:r w:rsidRPr="00972C29">
        <w:rPr>
          <w:sz w:val="20"/>
          <w:szCs w:val="20"/>
        </w:rPr>
        <w:t>. ¶ 7.</w:t>
      </w:r>
    </w:p>
  </w:footnote>
  <w:footnote w:id="27">
    <w:p w:rsidRPr="00972C29" w:rsidR="0081089D" w:rsidP="003123D6" w:rsidRDefault="0081089D" w14:paraId="089E91EA" w14:textId="77777777">
      <w:pPr>
        <w:pStyle w:val="FootnoteText"/>
        <w:rPr>
          <w:sz w:val="20"/>
          <w:szCs w:val="20"/>
        </w:rPr>
      </w:pPr>
      <w:r w:rsidRPr="00972C29">
        <w:rPr>
          <w:rStyle w:val="FootnoteReference"/>
          <w:sz w:val="20"/>
          <w:szCs w:val="20"/>
        </w:rPr>
        <w:footnoteRef/>
      </w:r>
      <w:r w:rsidRPr="00972C29">
        <w:rPr>
          <w:sz w:val="20"/>
          <w:szCs w:val="20"/>
        </w:rPr>
        <w:t xml:space="preserve"> Tr. at 24.</w:t>
      </w:r>
    </w:p>
  </w:footnote>
  <w:footnote w:id="28">
    <w:p w:rsidRPr="00972C29" w:rsidR="0081089D" w:rsidP="003123D6" w:rsidRDefault="0081089D" w14:paraId="46506BCA" w14:textId="77777777">
      <w:pPr>
        <w:pStyle w:val="FootnoteText"/>
        <w:rPr>
          <w:sz w:val="20"/>
          <w:szCs w:val="20"/>
        </w:rPr>
      </w:pPr>
      <w:r w:rsidRPr="00972C29">
        <w:rPr>
          <w:rStyle w:val="FootnoteReference"/>
          <w:sz w:val="20"/>
          <w:szCs w:val="20"/>
        </w:rPr>
        <w:footnoteRef/>
      </w:r>
      <w:r w:rsidRPr="00972C29">
        <w:rPr>
          <w:sz w:val="20"/>
          <w:szCs w:val="20"/>
        </w:rPr>
        <w:t xml:space="preserve"> Tr. at 25.</w:t>
      </w:r>
    </w:p>
  </w:footnote>
  <w:footnote w:id="29">
    <w:p w:rsidRPr="00972C29" w:rsidR="0081089D" w:rsidP="003123D6" w:rsidRDefault="0081089D" w14:paraId="1643FD8D" w14:textId="77777777">
      <w:pPr>
        <w:pStyle w:val="FootnoteText"/>
        <w:rPr>
          <w:sz w:val="20"/>
          <w:szCs w:val="20"/>
        </w:rPr>
      </w:pPr>
      <w:r w:rsidRPr="00972C29">
        <w:rPr>
          <w:rStyle w:val="FootnoteReference"/>
          <w:sz w:val="20"/>
          <w:szCs w:val="20"/>
        </w:rPr>
        <w:footnoteRef/>
      </w:r>
      <w:r w:rsidRPr="00972C29">
        <w:rPr>
          <w:sz w:val="20"/>
          <w:szCs w:val="20"/>
        </w:rPr>
        <w:t xml:space="preserve"> Tr. at 25.</w:t>
      </w:r>
    </w:p>
  </w:footnote>
  <w:footnote w:id="30">
    <w:p w:rsidRPr="00972C29" w:rsidR="0081089D" w:rsidP="003123D6" w:rsidRDefault="0081089D" w14:paraId="4962C38B" w14:textId="77777777">
      <w:pPr>
        <w:pStyle w:val="FootnoteText"/>
        <w:rPr>
          <w:sz w:val="20"/>
          <w:szCs w:val="20"/>
        </w:rPr>
      </w:pPr>
      <w:r w:rsidRPr="00972C29">
        <w:rPr>
          <w:rStyle w:val="FootnoteReference"/>
          <w:sz w:val="20"/>
          <w:szCs w:val="20"/>
        </w:rPr>
        <w:footnoteRef/>
      </w:r>
      <w:r w:rsidRPr="00972C29">
        <w:rPr>
          <w:sz w:val="20"/>
          <w:szCs w:val="20"/>
        </w:rPr>
        <w:t xml:space="preserve"> Tr. at 29.</w:t>
      </w:r>
    </w:p>
  </w:footnote>
  <w:footnote w:id="31">
    <w:p w:rsidRPr="00972C29" w:rsidR="0081089D" w:rsidP="003123D6" w:rsidRDefault="0081089D" w14:paraId="6CF4839C" w14:textId="77777777">
      <w:pPr>
        <w:pStyle w:val="FootnoteText"/>
        <w:rPr>
          <w:sz w:val="20"/>
          <w:szCs w:val="20"/>
        </w:rPr>
      </w:pPr>
      <w:r w:rsidRPr="00972C29">
        <w:rPr>
          <w:rStyle w:val="FootnoteReference"/>
          <w:sz w:val="20"/>
          <w:szCs w:val="20"/>
        </w:rPr>
        <w:footnoteRef/>
      </w:r>
      <w:r w:rsidRPr="00972C29">
        <w:rPr>
          <w:sz w:val="20"/>
          <w:szCs w:val="20"/>
        </w:rPr>
        <w:t xml:space="preserve"> Tr. at 27.</w:t>
      </w:r>
    </w:p>
  </w:footnote>
  <w:footnote w:id="32">
    <w:p w:rsidRPr="00972C29" w:rsidR="0081089D" w:rsidP="003123D6" w:rsidRDefault="0081089D" w14:paraId="7B69E8E3" w14:textId="77777777">
      <w:pPr>
        <w:pStyle w:val="FootnoteText"/>
        <w:rPr>
          <w:sz w:val="20"/>
          <w:szCs w:val="20"/>
        </w:rPr>
      </w:pPr>
      <w:r w:rsidRPr="00972C29">
        <w:rPr>
          <w:rStyle w:val="FootnoteReference"/>
          <w:sz w:val="20"/>
          <w:szCs w:val="20"/>
        </w:rPr>
        <w:footnoteRef/>
      </w:r>
      <w:r w:rsidRPr="00972C29">
        <w:rPr>
          <w:sz w:val="20"/>
          <w:szCs w:val="20"/>
        </w:rPr>
        <w:t xml:space="preserve"> Tr. at 27.</w:t>
      </w:r>
    </w:p>
  </w:footnote>
  <w:footnote w:id="33">
    <w:p w:rsidRPr="00972C29" w:rsidR="0081089D" w:rsidP="003123D6" w:rsidRDefault="0081089D" w14:paraId="291837FD" w14:textId="14C35BC1">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8, 2018 Women’s Media Center Profile at 47.</w:t>
      </w:r>
    </w:p>
  </w:footnote>
  <w:footnote w:id="34">
    <w:p w:rsidRPr="00972C29" w:rsidR="0081089D" w:rsidP="003123D6" w:rsidRDefault="0081089D" w14:paraId="2128B190" w14:textId="25A3AAD8">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8, 2018 Women’s Media Center Profile at 47.</w:t>
      </w:r>
    </w:p>
  </w:footnote>
  <w:footnote w:id="35">
    <w:p w:rsidRPr="00972C29" w:rsidR="0081089D" w:rsidP="003123D6" w:rsidRDefault="0081089D" w14:paraId="3130B42F" w14:textId="12DDEEFF">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2018 Women’s Media Center Profile at 48. </w:t>
      </w:r>
    </w:p>
  </w:footnote>
  <w:footnote w:id="36">
    <w:p w:rsidRPr="00972C29" w:rsidR="0081089D" w:rsidP="003123D6" w:rsidRDefault="0081089D" w14:paraId="347D44DE" w14:textId="67266DE6">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8, 2018 Women’s Media Center Profile at 48.</w:t>
      </w:r>
    </w:p>
  </w:footnote>
  <w:footnote w:id="37">
    <w:p w:rsidRPr="00972C29" w:rsidR="0081089D" w:rsidP="003123D6" w:rsidRDefault="0081089D" w14:paraId="44C7D1AA" w14:textId="4852F269">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63.</w:t>
      </w:r>
    </w:p>
  </w:footnote>
  <w:footnote w:id="38">
    <w:p w:rsidRPr="00972C29" w:rsidR="0081089D" w:rsidP="003123D6" w:rsidRDefault="0081089D" w14:paraId="40C33881" w14:textId="312A888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63.</w:t>
      </w:r>
    </w:p>
  </w:footnote>
  <w:footnote w:id="39">
    <w:p w:rsidRPr="00972C29" w:rsidR="0081089D" w:rsidP="003123D6" w:rsidRDefault="0081089D" w14:paraId="1C5B8D39" w14:textId="47C4697A">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8, 2018 Women’s Media Center Profile at 47.</w:t>
      </w:r>
    </w:p>
  </w:footnote>
  <w:footnote w:id="40">
    <w:p w:rsidRPr="00972C29" w:rsidR="0081089D" w:rsidP="003123D6" w:rsidRDefault="0081089D" w14:paraId="7F458DCF" w14:textId="550F3D45">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68.</w:t>
      </w:r>
    </w:p>
  </w:footnote>
  <w:footnote w:id="41">
    <w:p w:rsidRPr="00972C29" w:rsidR="0081089D" w:rsidP="003123D6" w:rsidRDefault="0081089D" w14:paraId="2A5E30B1" w14:textId="44AE52A3">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2018 Women’s Media Center Profile at 48. </w:t>
      </w:r>
    </w:p>
  </w:footnote>
  <w:footnote w:id="42">
    <w:p w:rsidRPr="00972C29" w:rsidR="0081089D" w:rsidP="003123D6" w:rsidRDefault="0081089D" w14:paraId="7A7EBEC1" w14:textId="6EA5177F">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8, 2018 Women’s Media Center Profile at 48.</w:t>
      </w:r>
    </w:p>
  </w:footnote>
  <w:footnote w:id="43">
    <w:p w:rsidRPr="00972C29" w:rsidR="0081089D" w:rsidP="003123D6" w:rsidRDefault="0081089D" w14:paraId="6B68E4C0" w14:textId="4E834CA3">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65.</w:t>
      </w:r>
    </w:p>
  </w:footnote>
  <w:footnote w:id="44">
    <w:p w:rsidRPr="00972C29" w:rsidR="0081089D" w:rsidP="003123D6" w:rsidRDefault="0081089D" w14:paraId="321C96A8" w14:textId="1E1FD97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65. </w:t>
      </w:r>
    </w:p>
  </w:footnote>
  <w:footnote w:id="45">
    <w:p w:rsidRPr="00972C29" w:rsidR="0081089D" w:rsidP="003123D6" w:rsidRDefault="0081089D" w14:paraId="0DCC7D15" w14:textId="46E67250">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65.</w:t>
      </w:r>
    </w:p>
  </w:footnote>
  <w:footnote w:id="46">
    <w:p w:rsidRPr="00972C29" w:rsidR="0081089D" w:rsidP="003123D6" w:rsidRDefault="0081089D" w14:paraId="78E73E21" w14:textId="11BC36DD">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65.</w:t>
      </w:r>
    </w:p>
  </w:footnote>
  <w:footnote w:id="47">
    <w:p w:rsidRPr="00972C29" w:rsidR="0081089D" w:rsidP="003123D6" w:rsidRDefault="0081089D" w14:paraId="5A477E55" w14:textId="7C9180EB">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65.</w:t>
      </w:r>
    </w:p>
  </w:footnote>
  <w:footnote w:id="48">
    <w:p w:rsidRPr="00972C29" w:rsidR="0081089D" w:rsidP="003123D6" w:rsidRDefault="0081089D" w14:paraId="03C676F2" w14:textId="195460CA">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65-66.</w:t>
      </w:r>
    </w:p>
  </w:footnote>
  <w:footnote w:id="49">
    <w:p w:rsidRPr="00972C29" w:rsidR="0081089D" w:rsidP="003123D6" w:rsidRDefault="0081089D" w14:paraId="6FCDE340" w14:textId="5511F328">
      <w:pPr>
        <w:pStyle w:val="FootnoteText"/>
        <w:rPr>
          <w:sz w:val="20"/>
          <w:szCs w:val="20"/>
        </w:rPr>
      </w:pPr>
      <w:r w:rsidRPr="00972C29">
        <w:rPr>
          <w:rStyle w:val="FootnoteReference"/>
          <w:sz w:val="20"/>
          <w:szCs w:val="20"/>
        </w:rPr>
        <w:footnoteRef/>
      </w:r>
      <w:r w:rsidRPr="00972C29">
        <w:rPr>
          <w:sz w:val="20"/>
          <w:szCs w:val="20"/>
        </w:rPr>
        <w:t xml:space="preserve"> </w:t>
      </w:r>
      <w:bookmarkStart w:name="OLE_LINK1" w:id="9"/>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69-70.</w:t>
      </w:r>
      <w:bookmarkEnd w:id="9"/>
    </w:p>
  </w:footnote>
  <w:footnote w:id="50">
    <w:p w:rsidRPr="00972C29" w:rsidR="0081089D" w:rsidP="003123D6" w:rsidRDefault="0081089D" w14:paraId="4893F713" w14:textId="2CAA3434">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70. </w:t>
      </w:r>
    </w:p>
  </w:footnote>
  <w:footnote w:id="51">
    <w:p w:rsidRPr="00972C29" w:rsidR="0081089D" w:rsidP="003123D6" w:rsidRDefault="0081089D" w14:paraId="6F7A723C" w14:textId="18A16D3C">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64.</w:t>
      </w:r>
    </w:p>
  </w:footnote>
  <w:footnote w:id="52">
    <w:p w:rsidRPr="00972C29" w:rsidR="0081089D" w:rsidP="003123D6" w:rsidRDefault="0081089D" w14:paraId="477D5BF0" w14:textId="03E84F12">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63.</w:t>
      </w:r>
    </w:p>
  </w:footnote>
  <w:footnote w:id="53">
    <w:p w:rsidRPr="00972C29" w:rsidR="0081089D" w:rsidP="003123D6" w:rsidRDefault="0081089D" w14:paraId="2F3CCEA5" w14:textId="022E28D4">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64.</w:t>
      </w:r>
    </w:p>
  </w:footnote>
  <w:footnote w:id="54">
    <w:p w:rsidRPr="00972C29" w:rsidR="0081089D" w:rsidP="003123D6" w:rsidRDefault="0081089D" w14:paraId="4AD05C38" w14:textId="3FE104D6">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64.</w:t>
      </w:r>
    </w:p>
  </w:footnote>
  <w:footnote w:id="55">
    <w:p w:rsidRPr="00972C29" w:rsidR="0081089D" w:rsidP="003123D6" w:rsidRDefault="0081089D" w14:paraId="366EA6BD" w14:textId="77777777">
      <w:pPr>
        <w:pStyle w:val="FootnoteText"/>
        <w:rPr>
          <w:sz w:val="20"/>
          <w:szCs w:val="20"/>
        </w:rPr>
      </w:pPr>
      <w:r w:rsidRPr="00972C29">
        <w:rPr>
          <w:rStyle w:val="FootnoteReference"/>
          <w:sz w:val="20"/>
          <w:szCs w:val="20"/>
        </w:rPr>
        <w:footnoteRef/>
      </w:r>
      <w:r w:rsidRPr="00972C29">
        <w:rPr>
          <w:sz w:val="20"/>
          <w:szCs w:val="20"/>
        </w:rPr>
        <w:t xml:space="preserve"> Tr. I at 6.</w:t>
      </w:r>
    </w:p>
  </w:footnote>
  <w:footnote w:id="56">
    <w:p w:rsidRPr="00972C29" w:rsidR="0081089D" w:rsidP="00D20A24" w:rsidRDefault="0081089D" w14:paraId="14F5E978"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See</w:t>
      </w:r>
      <w:r w:rsidRPr="00972C29">
        <w:rPr>
          <w:sz w:val="20"/>
          <w:szCs w:val="20"/>
        </w:rPr>
        <w:t xml:space="preserve"> 8 C.F.R. § 1003.1(d)(3)(</w:t>
      </w:r>
      <w:proofErr w:type="spellStart"/>
      <w:r w:rsidRPr="00972C29">
        <w:rPr>
          <w:sz w:val="20"/>
          <w:szCs w:val="20"/>
        </w:rPr>
        <w:t>i</w:t>
      </w:r>
      <w:proofErr w:type="spellEnd"/>
      <w:r w:rsidRPr="00972C29">
        <w:rPr>
          <w:sz w:val="20"/>
          <w:szCs w:val="20"/>
        </w:rPr>
        <w:t>).</w:t>
      </w:r>
    </w:p>
  </w:footnote>
  <w:footnote w:id="57">
    <w:p w:rsidRPr="00972C29" w:rsidR="0081089D" w:rsidP="00D20A24" w:rsidRDefault="0081089D" w14:paraId="390A5379"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See</w:t>
      </w:r>
      <w:r w:rsidRPr="00972C29">
        <w:rPr>
          <w:sz w:val="20"/>
          <w:szCs w:val="20"/>
        </w:rPr>
        <w:t xml:space="preserve"> 8 C.F.R. § 1003.1(d)(3)(</w:t>
      </w:r>
      <w:proofErr w:type="spellStart"/>
      <w:r w:rsidRPr="00972C29">
        <w:rPr>
          <w:sz w:val="20"/>
          <w:szCs w:val="20"/>
        </w:rPr>
        <w:t>i</w:t>
      </w:r>
      <w:proofErr w:type="spellEnd"/>
      <w:r w:rsidRPr="00972C29">
        <w:rPr>
          <w:sz w:val="20"/>
          <w:szCs w:val="20"/>
        </w:rPr>
        <w:t>).</w:t>
      </w:r>
    </w:p>
  </w:footnote>
  <w:footnote w:id="58">
    <w:p w:rsidRPr="00972C29" w:rsidR="0081089D" w:rsidP="00D20A24" w:rsidRDefault="0081089D" w14:paraId="5C31093E"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A-S-B-</w:t>
      </w:r>
      <w:r w:rsidRPr="00972C29">
        <w:rPr>
          <w:sz w:val="20"/>
          <w:szCs w:val="20"/>
        </w:rPr>
        <w:t>, 24 I&amp;N Dec. 493, 497 (BIA 2008).</w:t>
      </w:r>
    </w:p>
  </w:footnote>
  <w:footnote w:id="59">
    <w:p w:rsidRPr="00972C29" w:rsidR="0081089D" w:rsidP="003123D6" w:rsidRDefault="0081089D" w14:paraId="4DFF64B2" w14:textId="7777777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6, I-589 Application for Asylum and Withholding of Removal at 5.</w:t>
      </w:r>
    </w:p>
  </w:footnote>
  <w:footnote w:id="60">
    <w:p w:rsidRPr="00972C29" w:rsidR="0081089D" w:rsidP="003123D6" w:rsidRDefault="0081089D" w14:paraId="59C6D7CE" w14:textId="4B429F7F">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00270297">
        <w:rPr>
          <w:sz w:val="20"/>
          <w:szCs w:val="20"/>
        </w:rPr>
        <w:t>Exh</w:t>
      </w:r>
      <w:proofErr w:type="spellEnd"/>
      <w:r w:rsidR="00270297">
        <w:rPr>
          <w:sz w:val="20"/>
          <w:szCs w:val="20"/>
        </w:rPr>
        <w:t>. 7</w:t>
      </w:r>
      <w:r w:rsidRPr="00972C29" w:rsidR="00270297">
        <w:rPr>
          <w:sz w:val="20"/>
          <w:szCs w:val="20"/>
        </w:rPr>
        <w:t xml:space="preserve">, </w:t>
      </w:r>
      <w:proofErr w:type="spellStart"/>
      <w:r w:rsidRPr="00972C29" w:rsidR="00D24360">
        <w:rPr>
          <w:sz w:val="20"/>
          <w:szCs w:val="20"/>
        </w:rPr>
        <w:t>Resp’t</w:t>
      </w:r>
      <w:proofErr w:type="spellEnd"/>
      <w:r w:rsidRPr="00972C29" w:rsidR="00D24360">
        <w:rPr>
          <w:sz w:val="20"/>
          <w:szCs w:val="20"/>
        </w:rPr>
        <w:t xml:space="preserve"> Br. at </w:t>
      </w:r>
      <w:r w:rsidRPr="00972C29" w:rsidR="000123E3">
        <w:rPr>
          <w:sz w:val="20"/>
          <w:szCs w:val="20"/>
        </w:rPr>
        <w:t>4.</w:t>
      </w:r>
    </w:p>
  </w:footnote>
  <w:footnote w:id="61">
    <w:p w:rsidRPr="00972C29" w:rsidR="0081089D" w:rsidP="003123D6" w:rsidRDefault="0081089D" w14:paraId="3C51DD31" w14:textId="77777777">
      <w:pPr>
        <w:pStyle w:val="FootnoteText"/>
        <w:rPr>
          <w:sz w:val="20"/>
          <w:szCs w:val="20"/>
        </w:rPr>
      </w:pPr>
      <w:r w:rsidRPr="00972C29">
        <w:rPr>
          <w:rStyle w:val="FootnoteReference"/>
          <w:sz w:val="20"/>
          <w:szCs w:val="20"/>
        </w:rPr>
        <w:footnoteRef/>
      </w:r>
      <w:r w:rsidRPr="00972C29">
        <w:rPr>
          <w:sz w:val="20"/>
          <w:szCs w:val="20"/>
        </w:rPr>
        <w:t xml:space="preserve"> I.J. at 1-5.</w:t>
      </w:r>
    </w:p>
  </w:footnote>
  <w:footnote w:id="62">
    <w:p w:rsidRPr="00972C29" w:rsidR="0081089D" w:rsidP="003123D6" w:rsidRDefault="0081089D" w14:paraId="2B9F7519" w14:textId="293B1499">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In re M-G-M-M-</w:t>
      </w:r>
      <w:r w:rsidRPr="00972C29">
        <w:rPr>
          <w:sz w:val="20"/>
          <w:szCs w:val="20"/>
        </w:rPr>
        <w:t>, AXXX XXX 194 (BIA June 1, 2015)</w:t>
      </w:r>
      <w:r w:rsidR="00C47D73">
        <w:rPr>
          <w:sz w:val="20"/>
          <w:szCs w:val="20"/>
        </w:rPr>
        <w:t>.</w:t>
      </w:r>
    </w:p>
  </w:footnote>
  <w:footnote w:id="63">
    <w:p w:rsidRPr="00972C29" w:rsidR="0081089D" w:rsidP="003123D6" w:rsidRDefault="0081089D" w14:paraId="1F5C00D3"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r w:rsidRPr="00972C29">
        <w:rPr>
          <w:sz w:val="20"/>
          <w:szCs w:val="20"/>
        </w:rPr>
        <w:t xml:space="preserve"> </w:t>
      </w:r>
    </w:p>
  </w:footnote>
  <w:footnote w:id="64">
    <w:p w:rsidRPr="00972C29" w:rsidR="0081089D" w:rsidP="003123D6" w:rsidRDefault="0081089D" w14:paraId="27984FBB" w14:textId="2B885BEB">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Konan v. Atty. Gen. of U.S.</w:t>
      </w:r>
      <w:r w:rsidRPr="00972C29">
        <w:rPr>
          <w:sz w:val="20"/>
          <w:szCs w:val="20"/>
        </w:rPr>
        <w:t>, 432 F.3d 497 (3d Cir. 2005)</w:t>
      </w:r>
      <w:r w:rsidR="00C47D73">
        <w:rPr>
          <w:sz w:val="20"/>
          <w:szCs w:val="20"/>
        </w:rPr>
        <w:t>.</w:t>
      </w:r>
    </w:p>
  </w:footnote>
  <w:footnote w:id="65">
    <w:p w:rsidRPr="00972C29" w:rsidR="0081089D" w:rsidP="003123D6" w:rsidRDefault="0081089D" w14:paraId="193791CD"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r w:rsidRPr="00972C29">
        <w:rPr>
          <w:sz w:val="20"/>
          <w:szCs w:val="20"/>
        </w:rPr>
        <w:t xml:space="preserve"> at 498. </w:t>
      </w:r>
    </w:p>
  </w:footnote>
  <w:footnote w:id="66">
    <w:p w:rsidRPr="00972C29" w:rsidR="0081089D" w:rsidP="003123D6" w:rsidRDefault="0081089D" w14:paraId="03E12949"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Espinosa-Cortez v. Atty. Gen. of U.S.</w:t>
      </w:r>
      <w:r w:rsidRPr="00972C29">
        <w:rPr>
          <w:sz w:val="20"/>
          <w:szCs w:val="20"/>
        </w:rPr>
        <w:t xml:space="preserve">, 607 F.3d 101, 108 (3d Cir. 2010) (citing </w:t>
      </w:r>
      <w:proofErr w:type="spellStart"/>
      <w:r w:rsidRPr="00972C29">
        <w:rPr>
          <w:i/>
          <w:iCs/>
          <w:sz w:val="20"/>
          <w:szCs w:val="20"/>
        </w:rPr>
        <w:t>Amanfi</w:t>
      </w:r>
      <w:proofErr w:type="spellEnd"/>
      <w:r w:rsidRPr="00972C29">
        <w:rPr>
          <w:i/>
          <w:iCs/>
          <w:sz w:val="20"/>
          <w:szCs w:val="20"/>
        </w:rPr>
        <w:t xml:space="preserve"> v. Ashcroft,</w:t>
      </w:r>
      <w:r w:rsidRPr="00972C29">
        <w:rPr>
          <w:sz w:val="20"/>
          <w:szCs w:val="20"/>
        </w:rPr>
        <w:t> 328 F.3d 719, 729 n. 4 (3d Cir.2003).</w:t>
      </w:r>
    </w:p>
  </w:footnote>
  <w:footnote w:id="67">
    <w:p w:rsidRPr="00972C29" w:rsidR="0081089D" w:rsidP="003123D6" w:rsidRDefault="0081089D" w14:paraId="6FF997C1" w14:textId="309FB3BD">
      <w:pPr>
        <w:pStyle w:val="FootnoteText"/>
        <w:rPr>
          <w:rFonts w:eastAsiaTheme="minorEastAsia"/>
          <w:sz w:val="20"/>
          <w:szCs w:val="20"/>
          <w:lang w:eastAsia="en-US"/>
        </w:rPr>
      </w:pPr>
      <w:r w:rsidRPr="00972C29">
        <w:rPr>
          <w:rStyle w:val="FootnoteReference"/>
          <w:sz w:val="20"/>
          <w:szCs w:val="20"/>
        </w:rPr>
        <w:footnoteRef/>
      </w:r>
      <w:r w:rsidRPr="00972C29">
        <w:rPr>
          <w:sz w:val="20"/>
          <w:szCs w:val="20"/>
        </w:rPr>
        <w:t xml:space="preserve"> </w:t>
      </w:r>
      <w:r w:rsidRPr="00972C29">
        <w:rPr>
          <w:i/>
          <w:sz w:val="20"/>
          <w:szCs w:val="20"/>
        </w:rPr>
        <w:t>In Re S-P-</w:t>
      </w:r>
      <w:r w:rsidRPr="00972C29">
        <w:rPr>
          <w:sz w:val="20"/>
          <w:szCs w:val="20"/>
        </w:rPr>
        <w:t xml:space="preserve">, 21 I. &amp; N. Dec. 486, 492 (BIA 1996) (holding that events are such that no particular motive is ascertainable and in other cases, evidence suggests multiple motives); </w:t>
      </w:r>
      <w:r w:rsidRPr="00972C29">
        <w:rPr>
          <w:rFonts w:eastAsiaTheme="minorEastAsia"/>
          <w:i/>
          <w:sz w:val="20"/>
          <w:szCs w:val="20"/>
          <w:lang w:eastAsia="en-US"/>
        </w:rPr>
        <w:t>Chavarria v. Gonzalez</w:t>
      </w:r>
      <w:r w:rsidRPr="00972C29">
        <w:rPr>
          <w:rFonts w:eastAsiaTheme="minorEastAsia"/>
          <w:sz w:val="20"/>
          <w:szCs w:val="20"/>
          <w:lang w:eastAsia="en-US"/>
        </w:rPr>
        <w:t>, 446 F.3d 508, 521 (3d Cir. 2006)</w:t>
      </w:r>
      <w:r w:rsidRPr="00972C29">
        <w:rPr>
          <w:sz w:val="20"/>
          <w:szCs w:val="20"/>
        </w:rPr>
        <w:t xml:space="preserve"> (</w:t>
      </w:r>
      <w:r w:rsidRPr="00972C29">
        <w:rPr>
          <w:rFonts w:eastAsiaTheme="minorEastAsia"/>
          <w:sz w:val="20"/>
          <w:szCs w:val="20"/>
          <w:lang w:eastAsia="en-US"/>
        </w:rPr>
        <w:t xml:space="preserve">patently absurd to expect </w:t>
      </w:r>
      <w:r w:rsidRPr="00972C29">
        <w:rPr>
          <w:sz w:val="20"/>
          <w:szCs w:val="20"/>
        </w:rPr>
        <w:t xml:space="preserve">an applicant ... to produce </w:t>
      </w:r>
      <w:r w:rsidRPr="00972C29">
        <w:rPr>
          <w:rFonts w:eastAsiaTheme="minorEastAsia"/>
          <w:sz w:val="20"/>
          <w:szCs w:val="20"/>
          <w:lang w:eastAsia="en-US"/>
        </w:rPr>
        <w:t>documentary evidence ... because persecutors are hardly likely to provide their victims with affidavits attesting to their acts of persecution</w:t>
      </w:r>
      <w:r w:rsidRPr="00972C29">
        <w:rPr>
          <w:sz w:val="20"/>
          <w:szCs w:val="20"/>
        </w:rPr>
        <w:t xml:space="preserve">). </w:t>
      </w:r>
    </w:p>
  </w:footnote>
  <w:footnote w:id="68">
    <w:p w:rsidRPr="00972C29" w:rsidR="0081089D" w:rsidP="006B2062" w:rsidRDefault="0081089D" w14:paraId="553FB6D5" w14:textId="70889126">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In Re S-P-</w:t>
      </w:r>
      <w:r w:rsidRPr="00972C29">
        <w:rPr>
          <w:sz w:val="20"/>
          <w:szCs w:val="20"/>
        </w:rPr>
        <w:t>, 21 I. &amp; N. Dec. 486, 492 (BIA 1996) (“In adjudicating mixed motive cases, it is important to keep in mind the fundamental humanitarian concerns of asylum law. In enacting the Refugee Act of 1980, Congress sought to bring the Act’s definition of “refugee</w:t>
      </w:r>
      <w:r w:rsidRPr="00972C29" w:rsidR="00EA47F4">
        <w:rPr>
          <w:sz w:val="20"/>
          <w:szCs w:val="20"/>
        </w:rPr>
        <w:t>”</w:t>
      </w:r>
      <w:r w:rsidRPr="00972C29">
        <w:rPr>
          <w:sz w:val="20"/>
          <w:szCs w:val="20"/>
        </w:rPr>
        <w:t xml:space="preserve"> into conformity with the United Nations Convention and Protocol Relating to the Status of Refugees and, in so doing, give “statutory meaning to our national commitment to human rights and humanitarian concerns.</w:t>
      </w:r>
      <w:r w:rsidRPr="00972C29" w:rsidR="004D57F8">
        <w:rPr>
          <w:sz w:val="20"/>
          <w:szCs w:val="20"/>
        </w:rPr>
        <w:t>”</w:t>
      </w:r>
      <w:r w:rsidRPr="00972C29">
        <w:rPr>
          <w:sz w:val="20"/>
          <w:szCs w:val="20"/>
        </w:rPr>
        <w:t> </w:t>
      </w:r>
    </w:p>
  </w:footnote>
  <w:footnote w:id="69">
    <w:p w:rsidRPr="00972C29" w:rsidR="0081089D" w:rsidP="003123D6" w:rsidRDefault="0081089D" w14:paraId="0855DCA1" w14:textId="77777777">
      <w:pPr>
        <w:pStyle w:val="FootnoteText"/>
        <w:rPr>
          <w:sz w:val="20"/>
          <w:szCs w:val="20"/>
        </w:rPr>
      </w:pPr>
      <w:r w:rsidRPr="00972C29">
        <w:rPr>
          <w:rStyle w:val="FootnoteReference"/>
          <w:sz w:val="20"/>
          <w:szCs w:val="20"/>
        </w:rPr>
        <w:footnoteRef/>
      </w:r>
      <w:r w:rsidRPr="00972C29">
        <w:rPr>
          <w:sz w:val="20"/>
          <w:szCs w:val="20"/>
        </w:rPr>
        <w:t xml:space="preserve"> Tr. at 18.</w:t>
      </w:r>
    </w:p>
  </w:footnote>
  <w:footnote w:id="70">
    <w:p w:rsidRPr="00972C29" w:rsidR="0081089D" w:rsidP="003123D6" w:rsidRDefault="0081089D" w14:paraId="60FDB865" w14:textId="53170D6B">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6; Tr. at 16.</w:t>
      </w:r>
    </w:p>
  </w:footnote>
  <w:footnote w:id="71">
    <w:p w:rsidRPr="00972C29" w:rsidR="0081089D" w:rsidP="003123D6" w:rsidRDefault="0081089D" w14:paraId="0097E578" w14:textId="77777777">
      <w:pPr>
        <w:pStyle w:val="FootnoteText"/>
        <w:rPr>
          <w:sz w:val="20"/>
          <w:szCs w:val="20"/>
        </w:rPr>
      </w:pPr>
      <w:r w:rsidRPr="00972C29">
        <w:rPr>
          <w:rStyle w:val="FootnoteReference"/>
          <w:sz w:val="20"/>
          <w:szCs w:val="20"/>
        </w:rPr>
        <w:footnoteRef/>
      </w:r>
      <w:r w:rsidRPr="00972C29">
        <w:rPr>
          <w:sz w:val="20"/>
          <w:szCs w:val="20"/>
        </w:rPr>
        <w:t xml:space="preserve"> Tr. at 29.</w:t>
      </w:r>
    </w:p>
  </w:footnote>
  <w:footnote w:id="72">
    <w:p w:rsidRPr="00972C29" w:rsidR="0081089D" w:rsidP="003123D6" w:rsidRDefault="0081089D" w14:paraId="5E4AD9D9" w14:textId="77777777">
      <w:pPr>
        <w:pStyle w:val="FootnoteText"/>
        <w:rPr>
          <w:sz w:val="20"/>
          <w:szCs w:val="20"/>
        </w:rPr>
      </w:pPr>
      <w:r w:rsidRPr="00972C29">
        <w:rPr>
          <w:rStyle w:val="FootnoteReference"/>
          <w:sz w:val="20"/>
          <w:szCs w:val="20"/>
        </w:rPr>
        <w:footnoteRef/>
      </w:r>
      <w:r w:rsidRPr="00972C29">
        <w:rPr>
          <w:sz w:val="20"/>
          <w:szCs w:val="20"/>
        </w:rPr>
        <w:t xml:space="preserve"> Tr. at 28.</w:t>
      </w:r>
    </w:p>
  </w:footnote>
  <w:footnote w:id="73">
    <w:p w:rsidRPr="00972C29" w:rsidR="0081089D" w:rsidP="003123D6" w:rsidRDefault="0081089D" w14:paraId="78944EF1" w14:textId="77777777">
      <w:pPr>
        <w:pStyle w:val="FootnoteText"/>
        <w:rPr>
          <w:sz w:val="20"/>
          <w:szCs w:val="20"/>
        </w:rPr>
      </w:pPr>
      <w:r w:rsidRPr="00972C29">
        <w:rPr>
          <w:rStyle w:val="FootnoteReference"/>
          <w:sz w:val="20"/>
          <w:szCs w:val="20"/>
        </w:rPr>
        <w:footnoteRef/>
      </w:r>
      <w:r w:rsidRPr="00972C29">
        <w:rPr>
          <w:sz w:val="20"/>
          <w:szCs w:val="20"/>
        </w:rPr>
        <w:t xml:space="preserve"> Tr. at 18.</w:t>
      </w:r>
    </w:p>
  </w:footnote>
  <w:footnote w:id="74">
    <w:p w:rsidRPr="00972C29" w:rsidR="0081089D" w:rsidP="003123D6" w:rsidRDefault="0081089D" w14:paraId="6CA57B8B" w14:textId="33BEDCF6">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7.</w:t>
      </w:r>
    </w:p>
  </w:footnote>
  <w:footnote w:id="75">
    <w:p w:rsidRPr="00972C29" w:rsidR="0081089D" w:rsidP="003123D6" w:rsidRDefault="0081089D" w14:paraId="2381776A" w14:textId="4C195145">
      <w:pPr>
        <w:pStyle w:val="FootnoteText"/>
        <w:rPr>
          <w:sz w:val="20"/>
          <w:szCs w:val="20"/>
        </w:rPr>
      </w:pPr>
      <w:r w:rsidRPr="00972C29">
        <w:rPr>
          <w:rStyle w:val="FootnoteReference"/>
          <w:sz w:val="20"/>
          <w:szCs w:val="20"/>
        </w:rPr>
        <w:footnoteRef/>
      </w:r>
      <w:r w:rsidRPr="00972C29">
        <w:rPr>
          <w:sz w:val="20"/>
          <w:szCs w:val="20"/>
        </w:rPr>
        <w:t xml:space="preserve"> INA §208(b)(1)(B)(</w:t>
      </w:r>
      <w:proofErr w:type="spellStart"/>
      <w:r w:rsidRPr="00972C29">
        <w:rPr>
          <w:sz w:val="20"/>
          <w:szCs w:val="20"/>
        </w:rPr>
        <w:t>i</w:t>
      </w:r>
      <w:proofErr w:type="spellEnd"/>
      <w:r w:rsidRPr="00972C29">
        <w:rPr>
          <w:sz w:val="20"/>
          <w:szCs w:val="20"/>
        </w:rPr>
        <w:t>); 8 USC §1158(b)(1)(B)(</w:t>
      </w:r>
      <w:proofErr w:type="spellStart"/>
      <w:r w:rsidRPr="00972C29">
        <w:rPr>
          <w:sz w:val="20"/>
          <w:szCs w:val="20"/>
        </w:rPr>
        <w:t>i</w:t>
      </w:r>
      <w:proofErr w:type="spellEnd"/>
      <w:r w:rsidRPr="00972C29">
        <w:rPr>
          <w:sz w:val="20"/>
          <w:szCs w:val="20"/>
        </w:rPr>
        <w:t>)</w:t>
      </w:r>
      <w:r w:rsidR="00C47D73">
        <w:rPr>
          <w:sz w:val="20"/>
          <w:szCs w:val="20"/>
        </w:rPr>
        <w:t>.</w:t>
      </w:r>
    </w:p>
  </w:footnote>
  <w:footnote w:id="76">
    <w:p w:rsidRPr="00972C29" w:rsidR="0081089D" w:rsidP="003123D6" w:rsidRDefault="0081089D" w14:paraId="38CED0FC" w14:textId="024FA960">
      <w:pPr>
        <w:pStyle w:val="FootnoteText"/>
        <w:rPr>
          <w:sz w:val="20"/>
          <w:szCs w:val="20"/>
        </w:rPr>
      </w:pPr>
      <w:r w:rsidRPr="00972C29">
        <w:rPr>
          <w:rStyle w:val="FootnoteReference"/>
          <w:sz w:val="20"/>
          <w:szCs w:val="20"/>
        </w:rPr>
        <w:footnoteRef/>
      </w:r>
      <w:r w:rsidRPr="00972C29">
        <w:rPr>
          <w:sz w:val="20"/>
          <w:szCs w:val="20"/>
        </w:rPr>
        <w:t xml:space="preserve"> </w:t>
      </w:r>
      <w:r w:rsidRPr="00972C29">
        <w:rPr>
          <w:rFonts w:eastAsia="Times New Roman"/>
          <w:bCs/>
          <w:color w:val="333333"/>
          <w:sz w:val="20"/>
          <w:szCs w:val="20"/>
          <w:shd w:val="clear" w:color="auto" w:fill="FFFFFF"/>
        </w:rPr>
        <w:t>8 C.F.R. § 1208.16(c)(2)</w:t>
      </w:r>
      <w:r w:rsidR="00C47D73">
        <w:rPr>
          <w:rFonts w:eastAsia="Times New Roman"/>
          <w:bCs/>
          <w:color w:val="333333"/>
          <w:sz w:val="20"/>
          <w:szCs w:val="20"/>
          <w:shd w:val="clear" w:color="auto" w:fill="FFFFFF"/>
        </w:rPr>
        <w:t>.</w:t>
      </w:r>
    </w:p>
  </w:footnote>
  <w:footnote w:id="77">
    <w:p w:rsidRPr="00972C29" w:rsidR="0081089D" w:rsidP="003123D6" w:rsidRDefault="0081089D" w14:paraId="71342537" w14:textId="63897633">
      <w:pPr>
        <w:pStyle w:val="FootnoteText"/>
        <w:rPr>
          <w:sz w:val="20"/>
          <w:szCs w:val="20"/>
        </w:rPr>
      </w:pPr>
      <w:r w:rsidRPr="00972C29">
        <w:rPr>
          <w:rStyle w:val="FootnoteReference"/>
          <w:sz w:val="20"/>
          <w:szCs w:val="20"/>
        </w:rPr>
        <w:footnoteRef/>
      </w:r>
      <w:r w:rsidRPr="00972C29">
        <w:rPr>
          <w:sz w:val="20"/>
          <w:szCs w:val="20"/>
        </w:rPr>
        <w:t xml:space="preserve"> </w:t>
      </w:r>
      <w:r w:rsidRPr="00972C29">
        <w:rPr>
          <w:rFonts w:eastAsia="Times New Roman"/>
          <w:bCs/>
          <w:i/>
          <w:color w:val="333333"/>
          <w:sz w:val="20"/>
          <w:szCs w:val="20"/>
          <w:shd w:val="clear" w:color="auto" w:fill="FFFFFF"/>
        </w:rPr>
        <w:t>Silva-</w:t>
      </w:r>
      <w:proofErr w:type="spellStart"/>
      <w:r w:rsidRPr="00972C29">
        <w:rPr>
          <w:rFonts w:eastAsia="Times New Roman"/>
          <w:bCs/>
          <w:i/>
          <w:color w:val="333333"/>
          <w:sz w:val="20"/>
          <w:szCs w:val="20"/>
          <w:shd w:val="clear" w:color="auto" w:fill="FFFFFF"/>
        </w:rPr>
        <w:t>Rengifo</w:t>
      </w:r>
      <w:proofErr w:type="spellEnd"/>
      <w:r w:rsidRPr="00972C29">
        <w:rPr>
          <w:rFonts w:eastAsia="Times New Roman"/>
          <w:bCs/>
          <w:i/>
          <w:color w:val="333333"/>
          <w:sz w:val="20"/>
          <w:szCs w:val="20"/>
          <w:shd w:val="clear" w:color="auto" w:fill="FFFFFF"/>
        </w:rPr>
        <w:t xml:space="preserve"> v. Atty. Gen. of U.S.</w:t>
      </w:r>
      <w:r w:rsidRPr="00972C29">
        <w:rPr>
          <w:rFonts w:eastAsia="Times New Roman"/>
          <w:bCs/>
          <w:color w:val="333333"/>
          <w:sz w:val="20"/>
          <w:szCs w:val="20"/>
          <w:shd w:val="clear" w:color="auto" w:fill="FFFFFF"/>
        </w:rPr>
        <w:t>, 473 F.3d 58, 64 (3d Cir. 2007)</w:t>
      </w:r>
      <w:r w:rsidR="00C47D73">
        <w:rPr>
          <w:rFonts w:eastAsia="Times New Roman"/>
          <w:bCs/>
          <w:color w:val="333333"/>
          <w:sz w:val="20"/>
          <w:szCs w:val="20"/>
          <w:shd w:val="clear" w:color="auto" w:fill="FFFFFF"/>
        </w:rPr>
        <w:t>.</w:t>
      </w:r>
    </w:p>
  </w:footnote>
  <w:footnote w:id="78">
    <w:p w:rsidRPr="00972C29" w:rsidR="0081089D" w:rsidP="003123D6" w:rsidRDefault="0081089D" w14:paraId="1530309A" w14:textId="58F90032">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i/>
          <w:sz w:val="20"/>
          <w:szCs w:val="20"/>
        </w:rPr>
        <w:t>Zubeda</w:t>
      </w:r>
      <w:proofErr w:type="spellEnd"/>
      <w:r w:rsidRPr="00972C29">
        <w:rPr>
          <w:i/>
          <w:sz w:val="20"/>
          <w:szCs w:val="20"/>
        </w:rPr>
        <w:t xml:space="preserve"> v. Ashcroft</w:t>
      </w:r>
      <w:r w:rsidRPr="00972C29">
        <w:rPr>
          <w:sz w:val="20"/>
          <w:szCs w:val="20"/>
        </w:rPr>
        <w:t>, 333 F.3d 463, 476 (3d Cir. 2003)</w:t>
      </w:r>
      <w:r w:rsidR="00C47D73">
        <w:rPr>
          <w:sz w:val="20"/>
          <w:szCs w:val="20"/>
        </w:rPr>
        <w:t>.</w:t>
      </w:r>
    </w:p>
  </w:footnote>
  <w:footnote w:id="79">
    <w:p w:rsidRPr="00972C29" w:rsidR="0081089D" w:rsidP="003123D6" w:rsidRDefault="0081089D" w14:paraId="74C53060" w14:textId="2AFA220C">
      <w:pPr>
        <w:pStyle w:val="FootnoteText"/>
        <w:rPr>
          <w:sz w:val="20"/>
          <w:szCs w:val="20"/>
        </w:rPr>
      </w:pPr>
      <w:r w:rsidRPr="00972C29">
        <w:rPr>
          <w:rStyle w:val="FootnoteReference"/>
          <w:sz w:val="20"/>
          <w:szCs w:val="20"/>
        </w:rPr>
        <w:footnoteRef/>
      </w:r>
      <w:r w:rsidRPr="00972C29">
        <w:rPr>
          <w:sz w:val="20"/>
          <w:szCs w:val="20"/>
        </w:rPr>
        <w:t xml:space="preserve"> </w:t>
      </w:r>
      <w:r w:rsidRPr="00972C29">
        <w:rPr>
          <w:rFonts w:eastAsia="Times New Roman"/>
          <w:bCs/>
          <w:color w:val="333333"/>
          <w:sz w:val="20"/>
          <w:szCs w:val="20"/>
          <w:shd w:val="clear" w:color="auto" w:fill="FFFFFF"/>
        </w:rPr>
        <w:t>8 C.F.R. § 208.16(c)(3)</w:t>
      </w:r>
      <w:r w:rsidR="00C47D73">
        <w:rPr>
          <w:rFonts w:eastAsia="Times New Roman"/>
          <w:bCs/>
          <w:color w:val="333333"/>
          <w:sz w:val="20"/>
          <w:szCs w:val="20"/>
          <w:shd w:val="clear" w:color="auto" w:fill="FFFFFF"/>
        </w:rPr>
        <w:t>.</w:t>
      </w:r>
    </w:p>
  </w:footnote>
  <w:footnote w:id="80">
    <w:p w:rsidRPr="00972C29" w:rsidR="00356D9D" w:rsidRDefault="00356D9D" w14:paraId="51610A1C" w14:textId="3F939EFB">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i/>
          <w:sz w:val="20"/>
          <w:szCs w:val="20"/>
        </w:rPr>
        <w:t>Zubeda</w:t>
      </w:r>
      <w:proofErr w:type="spellEnd"/>
      <w:r w:rsidR="00F808E9">
        <w:rPr>
          <w:sz w:val="20"/>
          <w:szCs w:val="20"/>
        </w:rPr>
        <w:t>,</w:t>
      </w:r>
      <w:r w:rsidRPr="00972C29">
        <w:rPr>
          <w:i/>
          <w:sz w:val="20"/>
          <w:szCs w:val="20"/>
        </w:rPr>
        <w:t xml:space="preserve"> </w:t>
      </w:r>
      <w:r w:rsidRPr="00972C29">
        <w:rPr>
          <w:sz w:val="20"/>
          <w:szCs w:val="20"/>
        </w:rPr>
        <w:t xml:space="preserve">333 F.3d </w:t>
      </w:r>
      <w:r w:rsidR="00F808E9">
        <w:rPr>
          <w:sz w:val="20"/>
          <w:szCs w:val="20"/>
        </w:rPr>
        <w:t xml:space="preserve">at </w:t>
      </w:r>
      <w:r w:rsidRPr="00972C29">
        <w:rPr>
          <w:sz w:val="20"/>
          <w:szCs w:val="20"/>
        </w:rPr>
        <w:t>472</w:t>
      </w:r>
      <w:r w:rsidR="00F808E9">
        <w:rPr>
          <w:sz w:val="20"/>
          <w:szCs w:val="20"/>
        </w:rPr>
        <w:t xml:space="preserve">. </w:t>
      </w:r>
    </w:p>
  </w:footnote>
  <w:footnote w:id="81">
    <w:p w:rsidRPr="00972C29" w:rsidR="00D252DA" w:rsidP="00D252DA" w:rsidRDefault="00D252DA" w14:paraId="61F293C8" w14:textId="77777777">
      <w:pPr>
        <w:pStyle w:val="FootnoteText"/>
        <w:rPr>
          <w:sz w:val="20"/>
          <w:szCs w:val="20"/>
        </w:rPr>
      </w:pPr>
      <w:r w:rsidRPr="00972C29">
        <w:rPr>
          <w:rStyle w:val="FootnoteReference"/>
          <w:sz w:val="20"/>
          <w:szCs w:val="20"/>
        </w:rPr>
        <w:footnoteRef/>
      </w:r>
      <w:r w:rsidRPr="00972C29">
        <w:rPr>
          <w:sz w:val="20"/>
          <w:szCs w:val="20"/>
        </w:rPr>
        <w:t xml:space="preserve"> Tr. at 20-21. </w:t>
      </w:r>
    </w:p>
  </w:footnote>
  <w:footnote w:id="82">
    <w:p w:rsidRPr="00972C29" w:rsidR="0081089D" w:rsidP="003123D6" w:rsidRDefault="0081089D" w14:paraId="4BDDC810" w14:textId="77777777">
      <w:pPr>
        <w:pStyle w:val="FootnoteText"/>
        <w:rPr>
          <w:sz w:val="20"/>
          <w:szCs w:val="20"/>
        </w:rPr>
      </w:pPr>
      <w:r w:rsidRPr="00972C29">
        <w:rPr>
          <w:rStyle w:val="FootnoteReference"/>
          <w:sz w:val="20"/>
          <w:szCs w:val="20"/>
        </w:rPr>
        <w:footnoteRef/>
      </w:r>
      <w:r w:rsidRPr="00972C29">
        <w:rPr>
          <w:sz w:val="20"/>
          <w:szCs w:val="20"/>
        </w:rPr>
        <w:t xml:space="preserve"> Tr. at 20.</w:t>
      </w:r>
    </w:p>
  </w:footnote>
  <w:footnote w:id="83">
    <w:p w:rsidRPr="00972C29" w:rsidR="0081089D" w:rsidP="003123D6" w:rsidRDefault="0081089D" w14:paraId="39523DA6" w14:textId="09924592">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8.</w:t>
      </w:r>
    </w:p>
  </w:footnote>
  <w:footnote w:id="84">
    <w:p w:rsidRPr="00972C29" w:rsidR="0081089D" w:rsidP="003123D6" w:rsidRDefault="0081089D" w14:paraId="2313ED30" w14:textId="7777777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7, August 2008 Police Report with Pictures; </w:t>
      </w:r>
      <w:proofErr w:type="spellStart"/>
      <w:r w:rsidRPr="00972C29">
        <w:rPr>
          <w:sz w:val="20"/>
          <w:szCs w:val="20"/>
        </w:rPr>
        <w:t>Exh</w:t>
      </w:r>
      <w:proofErr w:type="spellEnd"/>
      <w:r w:rsidRPr="00972C29">
        <w:rPr>
          <w:sz w:val="20"/>
          <w:szCs w:val="20"/>
        </w:rPr>
        <w:t>. 7, August 2008 Secretariat of Health Medical Note.</w:t>
      </w:r>
    </w:p>
  </w:footnote>
  <w:footnote w:id="85">
    <w:p w:rsidRPr="00972C29" w:rsidR="0081089D" w:rsidP="003123D6" w:rsidRDefault="0081089D" w14:paraId="4E7F02C8" w14:textId="528F41F4">
      <w:pPr>
        <w:pStyle w:val="FootnoteText"/>
        <w:rPr>
          <w:sz w:val="20"/>
          <w:szCs w:val="20"/>
        </w:rPr>
      </w:pPr>
      <w:r w:rsidRPr="00972C29">
        <w:rPr>
          <w:rStyle w:val="FootnoteReference"/>
          <w:sz w:val="20"/>
          <w:szCs w:val="20"/>
        </w:rPr>
        <w:footnoteRef/>
      </w:r>
      <w:r w:rsidRPr="00972C29">
        <w:rPr>
          <w:sz w:val="20"/>
          <w:szCs w:val="20"/>
        </w:rPr>
        <w:t xml:space="preserve"> Tr. at 24; </w:t>
      </w:r>
      <w:proofErr w:type="spellStart"/>
      <w:r w:rsidRPr="00972C29" w:rsidR="00270297">
        <w:rPr>
          <w:sz w:val="20"/>
          <w:szCs w:val="20"/>
        </w:rPr>
        <w:t>Exh</w:t>
      </w:r>
      <w:proofErr w:type="spellEnd"/>
      <w:r w:rsidRPr="00972C29" w:rsidR="00270297">
        <w:rPr>
          <w:sz w:val="20"/>
          <w:szCs w:val="20"/>
        </w:rPr>
        <w:t xml:space="preserve">. 8, </w:t>
      </w:r>
      <w:r w:rsidRPr="00972C29">
        <w:rPr>
          <w:sz w:val="20"/>
          <w:szCs w:val="20"/>
        </w:rPr>
        <w:t xml:space="preserve">Rocio </w:t>
      </w:r>
      <w:proofErr w:type="spellStart"/>
      <w:r w:rsidRPr="00972C29">
        <w:rPr>
          <w:sz w:val="20"/>
          <w:szCs w:val="20"/>
        </w:rPr>
        <w:t>Aff</w:t>
      </w:r>
      <w:proofErr w:type="spellEnd"/>
      <w:r w:rsidRPr="00972C29">
        <w:rPr>
          <w:sz w:val="20"/>
          <w:szCs w:val="20"/>
        </w:rPr>
        <w:t>. ¶ 7.</w:t>
      </w:r>
    </w:p>
  </w:footnote>
  <w:footnote w:id="86">
    <w:p w:rsidRPr="00972C29" w:rsidR="0081089D" w:rsidP="003123D6" w:rsidRDefault="0081089D" w14:paraId="799AA345" w14:textId="77777777">
      <w:pPr>
        <w:pStyle w:val="FootnoteText"/>
        <w:rPr>
          <w:sz w:val="20"/>
          <w:szCs w:val="20"/>
        </w:rPr>
      </w:pPr>
      <w:r w:rsidRPr="00972C29">
        <w:rPr>
          <w:rStyle w:val="FootnoteReference"/>
          <w:sz w:val="20"/>
          <w:szCs w:val="20"/>
        </w:rPr>
        <w:footnoteRef/>
      </w:r>
      <w:r w:rsidRPr="00972C29">
        <w:rPr>
          <w:sz w:val="20"/>
          <w:szCs w:val="20"/>
        </w:rPr>
        <w:t xml:space="preserve"> Tr. at 24.</w:t>
      </w:r>
    </w:p>
  </w:footnote>
  <w:footnote w:id="87">
    <w:p w:rsidRPr="00972C29" w:rsidR="0081089D" w:rsidP="003123D6" w:rsidRDefault="0081089D" w14:paraId="3C768E7E" w14:textId="77777777">
      <w:pPr>
        <w:pStyle w:val="FootnoteText"/>
        <w:rPr>
          <w:sz w:val="20"/>
          <w:szCs w:val="20"/>
        </w:rPr>
      </w:pPr>
      <w:r w:rsidRPr="00972C29">
        <w:rPr>
          <w:rStyle w:val="FootnoteReference"/>
          <w:sz w:val="20"/>
          <w:szCs w:val="20"/>
        </w:rPr>
        <w:footnoteRef/>
      </w:r>
      <w:r w:rsidRPr="00972C29">
        <w:rPr>
          <w:sz w:val="20"/>
          <w:szCs w:val="20"/>
        </w:rPr>
        <w:t xml:space="preserve"> Tr. at 25.</w:t>
      </w:r>
    </w:p>
  </w:footnote>
  <w:footnote w:id="88">
    <w:p w:rsidRPr="00972C29" w:rsidR="0081089D" w:rsidP="003123D6" w:rsidRDefault="0081089D" w14:paraId="2B455E80" w14:textId="77777777">
      <w:pPr>
        <w:pStyle w:val="FootnoteText"/>
        <w:rPr>
          <w:sz w:val="20"/>
          <w:szCs w:val="20"/>
        </w:rPr>
      </w:pPr>
      <w:r w:rsidRPr="00972C29">
        <w:rPr>
          <w:rStyle w:val="FootnoteReference"/>
          <w:sz w:val="20"/>
          <w:szCs w:val="20"/>
        </w:rPr>
        <w:footnoteRef/>
      </w:r>
      <w:r w:rsidRPr="00972C29">
        <w:rPr>
          <w:sz w:val="20"/>
          <w:szCs w:val="20"/>
        </w:rPr>
        <w:t xml:space="preserve"> Tr. at 27.</w:t>
      </w:r>
    </w:p>
  </w:footnote>
  <w:footnote w:id="89">
    <w:p w:rsidRPr="00972C29" w:rsidR="0081089D" w:rsidP="003123D6" w:rsidRDefault="0081089D" w14:paraId="1F472F77" w14:textId="6D888F9B">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rFonts w:eastAsia="Times New Roman"/>
          <w:i/>
          <w:color w:val="333333"/>
          <w:sz w:val="20"/>
          <w:szCs w:val="20"/>
        </w:rPr>
        <w:t>Zubeda</w:t>
      </w:r>
      <w:proofErr w:type="spellEnd"/>
      <w:r w:rsidRPr="00972C29">
        <w:rPr>
          <w:rFonts w:eastAsia="Times New Roman"/>
          <w:i/>
          <w:color w:val="333333"/>
          <w:sz w:val="20"/>
          <w:szCs w:val="20"/>
        </w:rPr>
        <w:t xml:space="preserve"> v. Ashcroft</w:t>
      </w:r>
      <w:r w:rsidRPr="00972C29">
        <w:rPr>
          <w:rFonts w:eastAsia="Times New Roman"/>
          <w:color w:val="333333"/>
          <w:sz w:val="20"/>
          <w:szCs w:val="20"/>
        </w:rPr>
        <w:t>, 333 F.3d 463 (3d Cir.2003)</w:t>
      </w:r>
      <w:r w:rsidR="00C47D73">
        <w:rPr>
          <w:rFonts w:eastAsia="Times New Roman"/>
          <w:color w:val="333333"/>
          <w:sz w:val="20"/>
          <w:szCs w:val="20"/>
        </w:rPr>
        <w:t>.</w:t>
      </w:r>
    </w:p>
  </w:footnote>
  <w:footnote w:id="90">
    <w:p w:rsidRPr="00972C29" w:rsidR="0081089D" w:rsidP="003123D6" w:rsidRDefault="0081089D" w14:paraId="08F4AF57" w14:textId="15B9ED21">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67.</w:t>
      </w:r>
    </w:p>
  </w:footnote>
  <w:footnote w:id="91">
    <w:p w:rsidRPr="00972C29" w:rsidR="0081089D" w:rsidP="003123D6" w:rsidRDefault="0081089D" w14:paraId="2DF75E8B" w14:textId="18CABFE4">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8, 2018 Women’s Media Center Profile at 47.</w:t>
      </w:r>
    </w:p>
  </w:footnote>
  <w:footnote w:id="92">
    <w:p w:rsidRPr="00972C29" w:rsidR="0081089D" w:rsidP="003123D6" w:rsidRDefault="0081089D" w14:paraId="05F2CE58" w14:textId="35304A72">
      <w:pPr>
        <w:pStyle w:val="FootnoteText"/>
        <w:rPr>
          <w:sz w:val="20"/>
          <w:szCs w:val="20"/>
        </w:rPr>
      </w:pPr>
      <w:r w:rsidRPr="00972C29">
        <w:rPr>
          <w:rStyle w:val="FootnoteReference"/>
          <w:sz w:val="20"/>
          <w:szCs w:val="20"/>
        </w:rPr>
        <w:footnoteRef/>
      </w:r>
      <w:r w:rsidRPr="00972C29">
        <w:rPr>
          <w:sz w:val="20"/>
          <w:szCs w:val="20"/>
        </w:rPr>
        <w:t xml:space="preserve"> </w:t>
      </w:r>
      <w:bookmarkStart w:name="OLE_LINK10" w:id="10"/>
      <w:proofErr w:type="spellStart"/>
      <w:r w:rsidRPr="00972C29">
        <w:rPr>
          <w:sz w:val="20"/>
          <w:szCs w:val="20"/>
        </w:rPr>
        <w:t>Exh</w:t>
      </w:r>
      <w:proofErr w:type="spellEnd"/>
      <w:r w:rsidRPr="00972C29">
        <w:rPr>
          <w:sz w:val="20"/>
          <w:szCs w:val="20"/>
        </w:rPr>
        <w:t>. 8, 2018 Women’s Media Center Profile at 47.</w:t>
      </w:r>
      <w:bookmarkEnd w:id="10"/>
    </w:p>
  </w:footnote>
  <w:footnote w:id="93">
    <w:p w:rsidRPr="00972C29" w:rsidR="0081089D" w:rsidP="003123D6" w:rsidRDefault="0081089D" w14:paraId="4EE2C342" w14:textId="01854184">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8, 2018 Women’s Media Center Profile at 47.</w:t>
      </w:r>
    </w:p>
  </w:footnote>
  <w:footnote w:id="94">
    <w:p w:rsidRPr="00972C29" w:rsidR="0001467F" w:rsidP="0001467F" w:rsidRDefault="0081089D" w14:paraId="41DF38E6" w14:textId="3792B10F">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Silva-</w:t>
      </w:r>
      <w:proofErr w:type="spellStart"/>
      <w:r w:rsidRPr="00972C29">
        <w:rPr>
          <w:i/>
          <w:sz w:val="20"/>
          <w:szCs w:val="20"/>
        </w:rPr>
        <w:t>Rengifo</w:t>
      </w:r>
      <w:proofErr w:type="spellEnd"/>
      <w:r w:rsidRPr="00972C29">
        <w:rPr>
          <w:i/>
          <w:sz w:val="20"/>
          <w:szCs w:val="20"/>
        </w:rPr>
        <w:t xml:space="preserve"> v. Atty. Gen. of U.S.</w:t>
      </w:r>
      <w:r w:rsidRPr="00972C29">
        <w:rPr>
          <w:sz w:val="20"/>
          <w:szCs w:val="20"/>
        </w:rPr>
        <w:t>, 473 F.3d 58, 70 (3d Cir. 2007).</w:t>
      </w:r>
      <w:r w:rsidRPr="00972C29" w:rsidR="00786128">
        <w:rPr>
          <w:i/>
          <w:iCs/>
          <w:sz w:val="20"/>
          <w:szCs w:val="20"/>
        </w:rPr>
        <w:t xml:space="preserve"> </w:t>
      </w:r>
      <w:r w:rsidRPr="00972C29" w:rsidR="00786128">
        <w:rPr>
          <w:i/>
          <w:sz w:val="20"/>
          <w:szCs w:val="20"/>
        </w:rPr>
        <w:t>Pierre v. Atty. Gen. of U.S.</w:t>
      </w:r>
      <w:r w:rsidRPr="00972C29" w:rsidR="00786128">
        <w:rPr>
          <w:sz w:val="20"/>
          <w:szCs w:val="20"/>
        </w:rPr>
        <w:t>, 528 F.3d 180 (3d Cir. 2008)</w:t>
      </w:r>
      <w:r w:rsidRPr="00972C29" w:rsidR="0001467F">
        <w:rPr>
          <w:sz w:val="20"/>
          <w:szCs w:val="20"/>
        </w:rPr>
        <w:t xml:space="preserve"> (</w:t>
      </w:r>
      <w:proofErr w:type="spellStart"/>
      <w:r w:rsidRPr="00972C29" w:rsidR="0001467F">
        <w:rPr>
          <w:i/>
          <w:sz w:val="20"/>
          <w:szCs w:val="20"/>
        </w:rPr>
        <w:t>en</w:t>
      </w:r>
      <w:proofErr w:type="spellEnd"/>
      <w:r w:rsidRPr="00972C29" w:rsidR="0001467F">
        <w:rPr>
          <w:i/>
          <w:sz w:val="20"/>
          <w:szCs w:val="20"/>
        </w:rPr>
        <w:t xml:space="preserve"> banc</w:t>
      </w:r>
      <w:r w:rsidRPr="00972C29" w:rsidR="0001467F">
        <w:rPr>
          <w:sz w:val="20"/>
          <w:szCs w:val="20"/>
        </w:rPr>
        <w:t>)</w:t>
      </w:r>
      <w:r w:rsidRPr="00972C29" w:rsidR="00786128">
        <w:rPr>
          <w:sz w:val="20"/>
          <w:szCs w:val="20"/>
        </w:rPr>
        <w:t xml:space="preserve">, in which the Third Circuit Court of Appeals held that willful blindness does not satisfy the specific intent requirement </w:t>
      </w:r>
      <w:r w:rsidRPr="00972C29" w:rsidR="0001467F">
        <w:rPr>
          <w:sz w:val="20"/>
          <w:szCs w:val="20"/>
        </w:rPr>
        <w:t>for CAT relief</w:t>
      </w:r>
      <w:r w:rsidRPr="00972C29" w:rsidR="00786128">
        <w:rPr>
          <w:sz w:val="20"/>
          <w:szCs w:val="20"/>
        </w:rPr>
        <w:t xml:space="preserve">, is inapposite. The applicant in </w:t>
      </w:r>
      <w:r w:rsidRPr="00972C29" w:rsidR="00786128">
        <w:rPr>
          <w:i/>
          <w:sz w:val="20"/>
          <w:szCs w:val="20"/>
        </w:rPr>
        <w:t>Pierre</w:t>
      </w:r>
      <w:r w:rsidRPr="00972C29" w:rsidR="00786128">
        <w:rPr>
          <w:sz w:val="20"/>
          <w:szCs w:val="20"/>
        </w:rPr>
        <w:t xml:space="preserve"> argued that the </w:t>
      </w:r>
      <w:r w:rsidRPr="00972C29" w:rsidR="0001467F">
        <w:rPr>
          <w:sz w:val="20"/>
          <w:szCs w:val="20"/>
        </w:rPr>
        <w:t xml:space="preserve">Haitian </w:t>
      </w:r>
      <w:r w:rsidRPr="00972C29" w:rsidR="00786128">
        <w:rPr>
          <w:sz w:val="20"/>
          <w:szCs w:val="20"/>
        </w:rPr>
        <w:t>government’s willful blindness to</w:t>
      </w:r>
      <w:r w:rsidRPr="00972C29" w:rsidR="0001467F">
        <w:rPr>
          <w:sz w:val="20"/>
          <w:szCs w:val="20"/>
        </w:rPr>
        <w:t xml:space="preserve"> the lack of medical care in prison facilities</w:t>
      </w:r>
      <w:r w:rsidRPr="00972C29" w:rsidR="00786128">
        <w:rPr>
          <w:sz w:val="20"/>
          <w:szCs w:val="20"/>
        </w:rPr>
        <w:t xml:space="preserve"> </w:t>
      </w:r>
      <w:r w:rsidRPr="00972C29" w:rsidR="0001467F">
        <w:rPr>
          <w:sz w:val="20"/>
          <w:szCs w:val="20"/>
        </w:rPr>
        <w:t>made him eligible for CAT relief</w:t>
      </w:r>
      <w:r w:rsidRPr="00972C29" w:rsidR="00786128">
        <w:rPr>
          <w:sz w:val="20"/>
          <w:szCs w:val="20"/>
        </w:rPr>
        <w:t xml:space="preserve">. However, unlike </w:t>
      </w:r>
      <w:r w:rsidR="00706EEB">
        <w:rPr>
          <w:sz w:val="20"/>
          <w:szCs w:val="20"/>
        </w:rPr>
        <w:t>A-</w:t>
      </w:r>
      <w:r w:rsidRPr="00972C29" w:rsidR="00786128">
        <w:rPr>
          <w:sz w:val="20"/>
          <w:szCs w:val="20"/>
        </w:rPr>
        <w:t>’s persecutor in this case, the government there did not have the intention to inflict harm on the applicant</w:t>
      </w:r>
      <w:r w:rsidRPr="00972C29" w:rsidR="0001467F">
        <w:rPr>
          <w:sz w:val="20"/>
          <w:szCs w:val="20"/>
        </w:rPr>
        <w:t>; instead, the applicant argued that the government did not have the means to care for him in prison</w:t>
      </w:r>
      <w:r w:rsidRPr="00972C29" w:rsidR="00786128">
        <w:rPr>
          <w:sz w:val="20"/>
          <w:szCs w:val="20"/>
        </w:rPr>
        <w:t xml:space="preserve">. </w:t>
      </w:r>
      <w:r w:rsidRPr="00972C29" w:rsidR="00794AB6">
        <w:rPr>
          <w:sz w:val="20"/>
          <w:szCs w:val="20"/>
        </w:rPr>
        <w:t xml:space="preserve">The court reasoned that the deplorable prison conditions were an “unintended consequence” of Haiti’s “extreme poverty.” Accordingly, there was no specific intent to harm the applicant. </w:t>
      </w:r>
      <w:r w:rsidRPr="00972C29" w:rsidR="00794AB6">
        <w:rPr>
          <w:i/>
          <w:sz w:val="20"/>
          <w:szCs w:val="20"/>
        </w:rPr>
        <w:t xml:space="preserve">Id. </w:t>
      </w:r>
      <w:r w:rsidRPr="00972C29" w:rsidR="00794AB6">
        <w:rPr>
          <w:sz w:val="20"/>
          <w:szCs w:val="20"/>
        </w:rPr>
        <w:t xml:space="preserve">at 189. </w:t>
      </w:r>
      <w:r w:rsidRPr="00972C29" w:rsidR="0001467F">
        <w:rPr>
          <w:sz w:val="20"/>
          <w:szCs w:val="20"/>
        </w:rPr>
        <w:t xml:space="preserve">Conversely, in this case, </w:t>
      </w:r>
      <w:r w:rsidR="00706EEB">
        <w:rPr>
          <w:sz w:val="20"/>
          <w:szCs w:val="20"/>
        </w:rPr>
        <w:t>M-</w:t>
      </w:r>
      <w:r w:rsidRPr="00972C29" w:rsidR="0001467F">
        <w:rPr>
          <w:sz w:val="20"/>
          <w:szCs w:val="20"/>
        </w:rPr>
        <w:t xml:space="preserve"> has specific intent to harm </w:t>
      </w:r>
      <w:r w:rsidR="00706EEB">
        <w:rPr>
          <w:sz w:val="20"/>
          <w:szCs w:val="20"/>
        </w:rPr>
        <w:t>A-</w:t>
      </w:r>
      <w:r w:rsidRPr="00972C29" w:rsidR="0001467F">
        <w:rPr>
          <w:sz w:val="20"/>
          <w:szCs w:val="20"/>
        </w:rPr>
        <w:t xml:space="preserve">, and </w:t>
      </w:r>
      <w:r w:rsidRPr="00972C29" w:rsidR="00794AB6">
        <w:rPr>
          <w:sz w:val="20"/>
          <w:szCs w:val="20"/>
        </w:rPr>
        <w:t>authorities in Mexico are</w:t>
      </w:r>
      <w:r w:rsidRPr="00972C29" w:rsidR="0001467F">
        <w:rPr>
          <w:sz w:val="20"/>
          <w:szCs w:val="20"/>
        </w:rPr>
        <w:t xml:space="preserve"> willfully blind to that harm. </w:t>
      </w:r>
      <w:r w:rsidRPr="00972C29" w:rsidR="0001467F">
        <w:rPr>
          <w:i/>
          <w:sz w:val="20"/>
          <w:szCs w:val="20"/>
        </w:rPr>
        <w:t>Silva-</w:t>
      </w:r>
      <w:proofErr w:type="spellStart"/>
      <w:r w:rsidRPr="00972C29" w:rsidR="0001467F">
        <w:rPr>
          <w:i/>
          <w:sz w:val="20"/>
          <w:szCs w:val="20"/>
        </w:rPr>
        <w:t>Rengifo</w:t>
      </w:r>
      <w:proofErr w:type="spellEnd"/>
      <w:r w:rsidRPr="00972C29" w:rsidR="0001467F">
        <w:rPr>
          <w:sz w:val="20"/>
          <w:szCs w:val="20"/>
        </w:rPr>
        <w:t xml:space="preserve"> established that willful blindness is relevant to the government acquiescence analysis of CAT and not the specific intent analysis of CAT. Accordingly, both the specific intent and willful blindness tests are met in </w:t>
      </w:r>
      <w:r w:rsidR="00706EEB">
        <w:rPr>
          <w:sz w:val="20"/>
          <w:szCs w:val="20"/>
        </w:rPr>
        <w:t>A-</w:t>
      </w:r>
      <w:r w:rsidRPr="00972C29" w:rsidR="0001467F">
        <w:rPr>
          <w:sz w:val="20"/>
          <w:szCs w:val="20"/>
        </w:rPr>
        <w:t xml:space="preserve">’s case. </w:t>
      </w:r>
    </w:p>
  </w:footnote>
  <w:footnote w:id="95">
    <w:p w:rsidRPr="00972C29" w:rsidR="0081089D" w:rsidP="003123D6" w:rsidRDefault="0081089D" w14:paraId="2CD7810F" w14:textId="77777777">
      <w:pPr>
        <w:pStyle w:val="FootnoteText"/>
        <w:rPr>
          <w:sz w:val="20"/>
          <w:szCs w:val="20"/>
        </w:rPr>
      </w:pPr>
      <w:r w:rsidRPr="00972C29">
        <w:rPr>
          <w:rStyle w:val="FootnoteReference"/>
          <w:sz w:val="20"/>
          <w:szCs w:val="20"/>
        </w:rPr>
        <w:footnoteRef/>
      </w:r>
      <w:r w:rsidRPr="00972C29">
        <w:rPr>
          <w:sz w:val="20"/>
          <w:szCs w:val="20"/>
        </w:rPr>
        <w:t xml:space="preserve"> </w:t>
      </w:r>
      <w:bookmarkStart w:name="OLE_LINK11" w:id="11"/>
      <w:r w:rsidRPr="00972C29">
        <w:rPr>
          <w:sz w:val="20"/>
          <w:szCs w:val="20"/>
          <w:u w:val="single"/>
        </w:rPr>
        <w:t xml:space="preserve">Id. </w:t>
      </w:r>
      <w:bookmarkEnd w:id="11"/>
    </w:p>
  </w:footnote>
  <w:footnote w:id="96">
    <w:p w:rsidRPr="00972C29" w:rsidR="0081089D" w:rsidP="003123D6" w:rsidRDefault="0081089D" w14:paraId="627EF563"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p>
  </w:footnote>
  <w:footnote w:id="97">
    <w:p w:rsidRPr="00972C29" w:rsidR="0081089D" w:rsidP="003123D6" w:rsidRDefault="0081089D" w14:paraId="3B98C81B" w14:textId="523F9D76">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i/>
          <w:sz w:val="20"/>
          <w:szCs w:val="20"/>
        </w:rPr>
        <w:t>Myrie</w:t>
      </w:r>
      <w:proofErr w:type="spellEnd"/>
      <w:r w:rsidRPr="00972C29">
        <w:rPr>
          <w:i/>
          <w:sz w:val="20"/>
          <w:szCs w:val="20"/>
        </w:rPr>
        <w:t xml:space="preserve"> v. Atty. Gen. U.S.</w:t>
      </w:r>
      <w:r w:rsidRPr="00972C29">
        <w:rPr>
          <w:sz w:val="20"/>
          <w:szCs w:val="20"/>
        </w:rPr>
        <w:t xml:space="preserve">, 855 F.3d 509, 516 (3d Cir. 2017) (citing </w:t>
      </w:r>
      <w:proofErr w:type="spellStart"/>
      <w:r w:rsidRPr="00972C29">
        <w:rPr>
          <w:i/>
          <w:sz w:val="20"/>
          <w:szCs w:val="20"/>
        </w:rPr>
        <w:t>Pieschacon</w:t>
      </w:r>
      <w:proofErr w:type="spellEnd"/>
      <w:r w:rsidRPr="00972C29">
        <w:rPr>
          <w:i/>
          <w:sz w:val="20"/>
          <w:szCs w:val="20"/>
        </w:rPr>
        <w:t>-Villegas v. Atty. Gen. of U.S.</w:t>
      </w:r>
      <w:r w:rsidRPr="00972C29">
        <w:rPr>
          <w:sz w:val="20"/>
          <w:szCs w:val="20"/>
        </w:rPr>
        <w:t>, 671 F.3d 303, 312 (3d Cir. 2011)</w:t>
      </w:r>
      <w:r w:rsidR="00C47D73">
        <w:rPr>
          <w:sz w:val="20"/>
          <w:szCs w:val="20"/>
        </w:rPr>
        <w:t>.</w:t>
      </w:r>
    </w:p>
  </w:footnote>
  <w:footnote w:id="98">
    <w:p w:rsidRPr="00972C29" w:rsidR="0081089D" w:rsidP="003123D6" w:rsidRDefault="0081089D" w14:paraId="6F419849" w14:textId="7777777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i/>
          <w:sz w:val="20"/>
          <w:szCs w:val="20"/>
        </w:rPr>
        <w:t>Myrie</w:t>
      </w:r>
      <w:proofErr w:type="spellEnd"/>
      <w:r w:rsidRPr="00972C29">
        <w:rPr>
          <w:sz w:val="20"/>
          <w:szCs w:val="20"/>
        </w:rPr>
        <w:t>,</w:t>
      </w:r>
      <w:r w:rsidRPr="00972C29">
        <w:rPr>
          <w:i/>
          <w:sz w:val="20"/>
          <w:szCs w:val="20"/>
        </w:rPr>
        <w:t xml:space="preserve"> </w:t>
      </w:r>
      <w:r w:rsidRPr="00972C29">
        <w:rPr>
          <w:sz w:val="20"/>
          <w:szCs w:val="20"/>
        </w:rPr>
        <w:t>855 F.3d at 513.</w:t>
      </w:r>
    </w:p>
  </w:footnote>
  <w:footnote w:id="99">
    <w:p w:rsidRPr="00972C29" w:rsidR="0081089D" w:rsidP="003123D6" w:rsidRDefault="0081089D" w14:paraId="427C189D"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r w:rsidRPr="00972C29">
        <w:rPr>
          <w:sz w:val="20"/>
          <w:szCs w:val="20"/>
        </w:rPr>
        <w:t xml:space="preserve"> at 515. </w:t>
      </w:r>
    </w:p>
  </w:footnote>
  <w:footnote w:id="100">
    <w:p w:rsidRPr="00972C29" w:rsidR="0081089D" w:rsidP="003123D6" w:rsidRDefault="0081089D" w14:paraId="2DC90EAF"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r w:rsidRPr="00972C29">
        <w:rPr>
          <w:sz w:val="20"/>
          <w:szCs w:val="20"/>
        </w:rPr>
        <w:t xml:space="preserve"> at 518.</w:t>
      </w:r>
    </w:p>
  </w:footnote>
  <w:footnote w:id="101">
    <w:p w:rsidRPr="00972C29" w:rsidR="0081089D" w:rsidP="003123D6" w:rsidRDefault="0081089D" w14:paraId="15452CA3" w14:textId="77777777">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r w:rsidRPr="00972C29">
        <w:rPr>
          <w:sz w:val="20"/>
          <w:szCs w:val="20"/>
        </w:rPr>
        <w:t xml:space="preserve"> at 517-18. </w:t>
      </w:r>
    </w:p>
  </w:footnote>
  <w:footnote w:id="102">
    <w:p w:rsidRPr="00972C29" w:rsidR="0081089D" w:rsidP="003123D6" w:rsidRDefault="0081089D" w14:paraId="19CE339F" w14:textId="79310EF5">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7.</w:t>
      </w:r>
    </w:p>
  </w:footnote>
  <w:footnote w:id="103">
    <w:p w:rsidRPr="00972C29" w:rsidR="0081089D" w:rsidP="003123D6" w:rsidRDefault="0081089D" w14:paraId="169F1C67" w14:textId="2C66604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7; Exh.7, Secretariat of Agriculture, Cattle, Urban Development, Fishery and Nutrition Termination letter.</w:t>
      </w:r>
    </w:p>
  </w:footnote>
  <w:footnote w:id="104">
    <w:p w:rsidRPr="00972C29" w:rsidR="0081089D" w:rsidP="003123D6" w:rsidRDefault="0081089D" w14:paraId="71115363" w14:textId="77777777">
      <w:pPr>
        <w:pStyle w:val="FootnoteText"/>
        <w:rPr>
          <w:sz w:val="20"/>
          <w:szCs w:val="20"/>
        </w:rPr>
      </w:pPr>
      <w:r w:rsidRPr="00972C29">
        <w:rPr>
          <w:rStyle w:val="FootnoteReference"/>
          <w:sz w:val="20"/>
          <w:szCs w:val="20"/>
        </w:rPr>
        <w:footnoteRef/>
      </w:r>
      <w:r w:rsidRPr="00972C29">
        <w:rPr>
          <w:sz w:val="20"/>
          <w:szCs w:val="20"/>
        </w:rPr>
        <w:t xml:space="preserve"> I.J. at 1-5.</w:t>
      </w:r>
    </w:p>
  </w:footnote>
  <w:footnote w:id="105">
    <w:p w:rsidRPr="00972C29" w:rsidR="0081089D" w:rsidP="003123D6" w:rsidRDefault="0081089D" w14:paraId="40B8F11B" w14:textId="7777777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i/>
          <w:sz w:val="20"/>
          <w:szCs w:val="20"/>
        </w:rPr>
        <w:t>Myrie</w:t>
      </w:r>
      <w:proofErr w:type="spellEnd"/>
      <w:r w:rsidRPr="00972C29">
        <w:rPr>
          <w:sz w:val="20"/>
          <w:szCs w:val="20"/>
        </w:rPr>
        <w:t>,</w:t>
      </w:r>
      <w:r w:rsidRPr="00972C29">
        <w:rPr>
          <w:i/>
          <w:sz w:val="20"/>
          <w:szCs w:val="20"/>
        </w:rPr>
        <w:t xml:space="preserve"> </w:t>
      </w:r>
      <w:r w:rsidRPr="00972C29">
        <w:rPr>
          <w:sz w:val="20"/>
          <w:szCs w:val="20"/>
        </w:rPr>
        <w:t xml:space="preserve">855 F.3d at 518. </w:t>
      </w:r>
    </w:p>
  </w:footnote>
  <w:footnote w:id="106">
    <w:p w:rsidRPr="00972C29" w:rsidR="0081089D" w:rsidRDefault="0081089D" w14:paraId="02C2D484" w14:textId="7C25D3E9">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Gomez-</w:t>
      </w:r>
      <w:proofErr w:type="spellStart"/>
      <w:r w:rsidRPr="00972C29">
        <w:rPr>
          <w:i/>
          <w:sz w:val="20"/>
          <w:szCs w:val="20"/>
        </w:rPr>
        <w:t>Zuluaga</w:t>
      </w:r>
      <w:proofErr w:type="spellEnd"/>
      <w:r w:rsidRPr="00972C29">
        <w:rPr>
          <w:i/>
          <w:sz w:val="20"/>
          <w:szCs w:val="20"/>
        </w:rPr>
        <w:t xml:space="preserve"> v. Atty. Gen. of U.S.</w:t>
      </w:r>
      <w:r w:rsidRPr="00972C29">
        <w:rPr>
          <w:sz w:val="20"/>
          <w:szCs w:val="20"/>
        </w:rPr>
        <w:t>, 527 F.3d 330, 335-39 (3d Cir. 2008)</w:t>
      </w:r>
      <w:r w:rsidR="00C47D73">
        <w:rPr>
          <w:sz w:val="20"/>
          <w:szCs w:val="20"/>
        </w:rPr>
        <w:t>.</w:t>
      </w:r>
    </w:p>
  </w:footnote>
  <w:footnote w:id="107">
    <w:p w:rsidRPr="00972C29" w:rsidR="0081089D" w:rsidRDefault="0081089D" w14:paraId="6AD84616" w14:textId="32216EA5">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r w:rsidRPr="00972C29">
        <w:rPr>
          <w:sz w:val="20"/>
          <w:szCs w:val="20"/>
        </w:rPr>
        <w:t xml:space="preserve"> at 351. </w:t>
      </w:r>
    </w:p>
  </w:footnote>
  <w:footnote w:id="108">
    <w:p w:rsidRPr="00972C29" w:rsidR="0081089D" w:rsidRDefault="0081089D" w14:paraId="26F63C64" w14:textId="21BD4AB6">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r w:rsidRPr="00972C29">
        <w:rPr>
          <w:sz w:val="20"/>
          <w:szCs w:val="20"/>
        </w:rPr>
        <w:t xml:space="preserve"> </w:t>
      </w:r>
    </w:p>
  </w:footnote>
  <w:footnote w:id="109">
    <w:p w:rsidRPr="00972C29" w:rsidR="0081089D" w:rsidRDefault="0081089D" w14:paraId="5FF92D2D" w14:textId="00E73CBE">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7, April 2008 Decentralized Attorney of </w:t>
      </w:r>
      <w:r w:rsidRPr="00972C29" w:rsidR="00CE0884">
        <w:rPr>
          <w:sz w:val="20"/>
          <w:szCs w:val="20"/>
        </w:rPr>
        <w:t>Investigation</w:t>
      </w:r>
      <w:r w:rsidRPr="00972C29">
        <w:rPr>
          <w:sz w:val="20"/>
          <w:szCs w:val="20"/>
        </w:rPr>
        <w:t xml:space="preserve"> in </w:t>
      </w:r>
      <w:proofErr w:type="spellStart"/>
      <w:r w:rsidRPr="00972C29">
        <w:rPr>
          <w:sz w:val="20"/>
          <w:szCs w:val="20"/>
        </w:rPr>
        <w:t>Teopojuma</w:t>
      </w:r>
      <w:proofErr w:type="spellEnd"/>
      <w:r w:rsidRPr="00972C29">
        <w:rPr>
          <w:sz w:val="20"/>
          <w:szCs w:val="20"/>
        </w:rPr>
        <w:t xml:space="preserve"> Complaint; </w:t>
      </w:r>
      <w:proofErr w:type="spellStart"/>
      <w:r w:rsidRPr="00972C29" w:rsidR="007E13C1">
        <w:rPr>
          <w:sz w:val="20"/>
          <w:szCs w:val="20"/>
        </w:rPr>
        <w:t>Exh</w:t>
      </w:r>
      <w:proofErr w:type="spellEnd"/>
      <w:r w:rsidRPr="00972C29" w:rsidR="007E13C1">
        <w:rPr>
          <w:sz w:val="20"/>
          <w:szCs w:val="20"/>
        </w:rPr>
        <w:t xml:space="preserve">. </w:t>
      </w:r>
      <w:r w:rsidR="007E13C1">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8</w:t>
      </w:r>
      <w:r w:rsidR="00C47D73">
        <w:rPr>
          <w:sz w:val="20"/>
          <w:szCs w:val="20"/>
        </w:rPr>
        <w:t>.</w:t>
      </w:r>
    </w:p>
  </w:footnote>
  <w:footnote w:id="110">
    <w:p w:rsidRPr="00972C29" w:rsidR="0081089D" w:rsidRDefault="0081089D" w14:paraId="148A29E8" w14:textId="468E1723">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8.</w:t>
      </w:r>
    </w:p>
  </w:footnote>
  <w:footnote w:id="111">
    <w:p w:rsidRPr="00972C29" w:rsidR="0081089D" w:rsidRDefault="0081089D" w14:paraId="59BAE480" w14:textId="7563A5C7">
      <w:pPr>
        <w:pStyle w:val="FootnoteText"/>
        <w:rPr>
          <w:sz w:val="20"/>
          <w:szCs w:val="20"/>
        </w:rPr>
      </w:pPr>
      <w:r w:rsidRPr="00972C29">
        <w:rPr>
          <w:rStyle w:val="FootnoteReference"/>
          <w:sz w:val="20"/>
          <w:szCs w:val="20"/>
        </w:rPr>
        <w:footnoteRef/>
      </w:r>
      <w:r w:rsidRPr="00972C29">
        <w:rPr>
          <w:sz w:val="20"/>
          <w:szCs w:val="20"/>
        </w:rPr>
        <w:t xml:space="preserve"> Tr. at 23.</w:t>
      </w:r>
    </w:p>
  </w:footnote>
  <w:footnote w:id="112">
    <w:p w:rsidRPr="00972C29" w:rsidR="0081089D" w:rsidRDefault="0081089D" w14:paraId="2C6BEAF0" w14:textId="511DB40C">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68.</w:t>
      </w:r>
    </w:p>
  </w:footnote>
  <w:footnote w:id="113">
    <w:p w:rsidRPr="00972C29" w:rsidR="0081089D" w:rsidRDefault="0081089D" w14:paraId="651C3B93" w14:textId="7B91228C">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sz w:val="20"/>
          <w:szCs w:val="20"/>
        </w:rPr>
        <w:t>Exh</w:t>
      </w:r>
      <w:proofErr w:type="spellEnd"/>
      <w:r w:rsidRPr="00972C29">
        <w:rPr>
          <w:sz w:val="20"/>
          <w:szCs w:val="20"/>
        </w:rPr>
        <w:t xml:space="preserve">. 8, 2012 National Citizens’ Observatory on </w:t>
      </w:r>
      <w:proofErr w:type="spellStart"/>
      <w:r w:rsidRPr="00972C29">
        <w:rPr>
          <w:sz w:val="20"/>
          <w:szCs w:val="20"/>
        </w:rPr>
        <w:t>Femicide</w:t>
      </w:r>
      <w:proofErr w:type="spellEnd"/>
      <w:r w:rsidRPr="00972C29">
        <w:rPr>
          <w:sz w:val="20"/>
          <w:szCs w:val="20"/>
        </w:rPr>
        <w:t xml:space="preserve"> Report at 68.</w:t>
      </w:r>
    </w:p>
  </w:footnote>
  <w:footnote w:id="114">
    <w:p w:rsidRPr="00972C29" w:rsidR="0081089D" w:rsidRDefault="0081089D" w14:paraId="3AD60D49" w14:textId="69992FFB">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Pr>
          <w:i/>
          <w:sz w:val="20"/>
          <w:szCs w:val="20"/>
        </w:rPr>
        <w:t>Ghebrehiwot</w:t>
      </w:r>
      <w:proofErr w:type="spellEnd"/>
      <w:r w:rsidRPr="00972C29">
        <w:rPr>
          <w:i/>
          <w:sz w:val="20"/>
          <w:szCs w:val="20"/>
        </w:rPr>
        <w:t xml:space="preserve"> v. Atty. Gen. of U.S.</w:t>
      </w:r>
      <w:r w:rsidRPr="00972C29">
        <w:rPr>
          <w:sz w:val="20"/>
          <w:szCs w:val="20"/>
        </w:rPr>
        <w:t>, 467 F.3d 344, 352 (3d Cir. 2006)</w:t>
      </w:r>
      <w:r w:rsidRPr="00972C29" w:rsidR="00EA47F4">
        <w:rPr>
          <w:sz w:val="20"/>
          <w:szCs w:val="20"/>
        </w:rPr>
        <w:t>.</w:t>
      </w:r>
    </w:p>
  </w:footnote>
  <w:footnote w:id="115">
    <w:p w:rsidRPr="00972C29" w:rsidR="0081089D" w:rsidRDefault="0081089D" w14:paraId="4C3A6545" w14:textId="43BAEBD0">
      <w:pPr>
        <w:pStyle w:val="FootnoteText"/>
        <w:rPr>
          <w:sz w:val="20"/>
          <w:szCs w:val="20"/>
        </w:rPr>
      </w:pPr>
      <w:r w:rsidRPr="00972C29">
        <w:rPr>
          <w:rStyle w:val="FootnoteReference"/>
          <w:sz w:val="20"/>
          <w:szCs w:val="20"/>
        </w:rPr>
        <w:footnoteRef/>
      </w:r>
      <w:r w:rsidRPr="00972C29">
        <w:rPr>
          <w:sz w:val="20"/>
          <w:szCs w:val="20"/>
        </w:rPr>
        <w:t xml:space="preserve"> 8 U.S.C. § 1158(b)(1)(B)(</w:t>
      </w:r>
      <w:proofErr w:type="spellStart"/>
      <w:r w:rsidRPr="00972C29">
        <w:rPr>
          <w:sz w:val="20"/>
          <w:szCs w:val="20"/>
        </w:rPr>
        <w:t>i</w:t>
      </w:r>
      <w:proofErr w:type="spellEnd"/>
      <w:r w:rsidRPr="00972C29">
        <w:rPr>
          <w:sz w:val="20"/>
          <w:szCs w:val="20"/>
        </w:rPr>
        <w:t xml:space="preserve">); </w:t>
      </w:r>
      <w:r w:rsidRPr="00972C29">
        <w:rPr>
          <w:rFonts w:eastAsia="Times New Roman"/>
          <w:i/>
          <w:sz w:val="20"/>
          <w:szCs w:val="20"/>
        </w:rPr>
        <w:t>Matter of A-B-</w:t>
      </w:r>
      <w:r w:rsidRPr="00972C29">
        <w:rPr>
          <w:rFonts w:eastAsia="Times New Roman"/>
          <w:sz w:val="20"/>
          <w:szCs w:val="20"/>
        </w:rPr>
        <w:t xml:space="preserve">, </w:t>
      </w:r>
      <w:r w:rsidRPr="00972C29">
        <w:rPr>
          <w:sz w:val="20"/>
          <w:szCs w:val="20"/>
        </w:rPr>
        <w:t>27 I&amp;N Dec. 316 (A.G. 2018)</w:t>
      </w:r>
      <w:r w:rsidRPr="00972C29" w:rsidR="00EA47F4">
        <w:rPr>
          <w:sz w:val="20"/>
          <w:szCs w:val="20"/>
        </w:rPr>
        <w:t>.</w:t>
      </w:r>
    </w:p>
  </w:footnote>
  <w:footnote w:id="116">
    <w:p w:rsidRPr="00972C29" w:rsidR="0081089D" w:rsidRDefault="0081089D" w14:paraId="7E21F4B7" w14:textId="444D1D24">
      <w:pPr>
        <w:pStyle w:val="FootnoteText"/>
        <w:rPr>
          <w:sz w:val="20"/>
          <w:szCs w:val="20"/>
        </w:rPr>
      </w:pPr>
      <w:r w:rsidRPr="00972C29">
        <w:rPr>
          <w:rStyle w:val="FootnoteReference"/>
          <w:sz w:val="20"/>
          <w:szCs w:val="20"/>
        </w:rPr>
        <w:footnoteRef/>
      </w:r>
      <w:r w:rsidRPr="00972C29">
        <w:rPr>
          <w:sz w:val="20"/>
          <w:szCs w:val="20"/>
        </w:rPr>
        <w:t xml:space="preserve"> I</w:t>
      </w:r>
      <w:bookmarkStart w:name="OLE_LINK13" w:id="12"/>
      <w:r w:rsidRPr="00972C29">
        <w:rPr>
          <w:sz w:val="20"/>
          <w:szCs w:val="20"/>
        </w:rPr>
        <w:t>.J. at 3.</w:t>
      </w:r>
      <w:bookmarkEnd w:id="12"/>
    </w:p>
  </w:footnote>
  <w:footnote w:id="117">
    <w:p w:rsidRPr="00972C29" w:rsidR="0081089D" w:rsidRDefault="0081089D" w14:paraId="4554BD11" w14:textId="7F95D27A">
      <w:pPr>
        <w:pStyle w:val="FootnoteText"/>
        <w:rPr>
          <w:sz w:val="20"/>
          <w:szCs w:val="20"/>
        </w:rPr>
      </w:pPr>
      <w:r w:rsidRPr="00972C29">
        <w:rPr>
          <w:rStyle w:val="FootnoteReference"/>
          <w:sz w:val="20"/>
          <w:szCs w:val="20"/>
        </w:rPr>
        <w:footnoteRef/>
      </w:r>
      <w:r w:rsidRPr="00972C29">
        <w:rPr>
          <w:sz w:val="20"/>
          <w:szCs w:val="20"/>
        </w:rPr>
        <w:t xml:space="preserve"> I.J. at 4.</w:t>
      </w:r>
    </w:p>
  </w:footnote>
  <w:footnote w:id="118">
    <w:p w:rsidRPr="00972C29" w:rsidR="0081089D" w:rsidRDefault="0081089D" w14:paraId="395124B6" w14:textId="795185D4">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See</w:t>
      </w:r>
      <w:r w:rsidRPr="00972C29">
        <w:rPr>
          <w:sz w:val="20"/>
          <w:szCs w:val="20"/>
        </w:rPr>
        <w:t xml:space="preserve"> </w:t>
      </w:r>
      <w:r w:rsidRPr="00972C29">
        <w:rPr>
          <w:rFonts w:eastAsia="Times New Roman"/>
          <w:i/>
          <w:sz w:val="20"/>
          <w:szCs w:val="20"/>
        </w:rPr>
        <w:t>Matter of A-B-</w:t>
      </w:r>
      <w:r w:rsidRPr="00972C29">
        <w:rPr>
          <w:rFonts w:eastAsia="Times New Roman"/>
          <w:sz w:val="20"/>
          <w:szCs w:val="20"/>
        </w:rPr>
        <w:t xml:space="preserve">, </w:t>
      </w:r>
      <w:r w:rsidRPr="00972C29">
        <w:rPr>
          <w:sz w:val="20"/>
          <w:szCs w:val="20"/>
        </w:rPr>
        <w:t>27 I&amp;N Dec. at 339.</w:t>
      </w:r>
    </w:p>
  </w:footnote>
  <w:footnote w:id="119">
    <w:p w:rsidRPr="00972C29" w:rsidR="0081089D" w:rsidRDefault="0081089D" w14:paraId="1B190531" w14:textId="104FCA9F">
      <w:pPr>
        <w:pStyle w:val="FootnoteText"/>
        <w:rPr>
          <w:sz w:val="20"/>
          <w:szCs w:val="20"/>
        </w:rPr>
      </w:pPr>
      <w:r w:rsidRPr="00972C29">
        <w:rPr>
          <w:rStyle w:val="FootnoteReference"/>
          <w:sz w:val="20"/>
          <w:szCs w:val="20"/>
        </w:rPr>
        <w:footnoteRef/>
      </w:r>
      <w:r w:rsidRPr="00972C29">
        <w:rPr>
          <w:sz w:val="20"/>
          <w:szCs w:val="20"/>
        </w:rPr>
        <w:t xml:space="preserve"> Tr. at 29.</w:t>
      </w:r>
    </w:p>
  </w:footnote>
  <w:footnote w:id="120">
    <w:p w:rsidRPr="00972C29" w:rsidR="0081089D" w:rsidRDefault="0081089D" w14:paraId="38C1444A" w14:textId="53431744">
      <w:pPr>
        <w:pStyle w:val="FootnoteText"/>
        <w:rPr>
          <w:sz w:val="20"/>
          <w:szCs w:val="20"/>
        </w:rPr>
      </w:pPr>
      <w:r w:rsidRPr="00972C29">
        <w:rPr>
          <w:rStyle w:val="FootnoteReference"/>
          <w:sz w:val="20"/>
          <w:szCs w:val="20"/>
        </w:rPr>
        <w:footnoteRef/>
      </w:r>
      <w:r w:rsidRPr="00972C29">
        <w:rPr>
          <w:sz w:val="20"/>
          <w:szCs w:val="20"/>
        </w:rPr>
        <w:t xml:space="preserve"> Tr. at 29.</w:t>
      </w:r>
    </w:p>
  </w:footnote>
  <w:footnote w:id="121">
    <w:p w:rsidRPr="00972C29" w:rsidR="0081089D" w:rsidRDefault="0081089D" w14:paraId="15AC7C0D" w14:textId="5228F963">
      <w:pPr>
        <w:pStyle w:val="FootnoteText"/>
        <w:rPr>
          <w:sz w:val="20"/>
          <w:szCs w:val="20"/>
        </w:rPr>
      </w:pPr>
      <w:r w:rsidRPr="00972C29">
        <w:rPr>
          <w:rStyle w:val="FootnoteReference"/>
          <w:sz w:val="20"/>
          <w:szCs w:val="20"/>
        </w:rPr>
        <w:footnoteRef/>
      </w:r>
      <w:r w:rsidRPr="00972C29">
        <w:rPr>
          <w:sz w:val="20"/>
          <w:szCs w:val="20"/>
        </w:rPr>
        <w:t xml:space="preserve"> Tr. at 28; Tr. at 18.</w:t>
      </w:r>
    </w:p>
  </w:footnote>
  <w:footnote w:id="122">
    <w:p w:rsidRPr="00972C29" w:rsidR="0081089D" w:rsidRDefault="0081089D" w14:paraId="415237C3" w14:textId="184563F0">
      <w:pPr>
        <w:pStyle w:val="FootnoteText"/>
        <w:rPr>
          <w:b/>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7.</w:t>
      </w:r>
    </w:p>
  </w:footnote>
  <w:footnote w:id="123">
    <w:p w:rsidRPr="00972C29" w:rsidR="0081089D" w:rsidRDefault="0081089D" w14:paraId="221BF07B" w14:textId="6012AF8D">
      <w:pPr>
        <w:pStyle w:val="FootnoteText"/>
        <w:rPr>
          <w:sz w:val="20"/>
          <w:szCs w:val="20"/>
        </w:rPr>
      </w:pPr>
      <w:r w:rsidRPr="00972C29">
        <w:rPr>
          <w:rStyle w:val="FootnoteReference"/>
          <w:sz w:val="20"/>
          <w:szCs w:val="20"/>
        </w:rPr>
        <w:footnoteRef/>
      </w:r>
      <w:r w:rsidRPr="00972C29">
        <w:rPr>
          <w:sz w:val="20"/>
          <w:szCs w:val="20"/>
        </w:rPr>
        <w:t xml:space="preserve"> I.J. at 3.</w:t>
      </w:r>
    </w:p>
  </w:footnote>
  <w:footnote w:id="124">
    <w:p w:rsidRPr="00972C29" w:rsidR="0081089D" w:rsidRDefault="0081089D" w14:paraId="2A63A9D6" w14:textId="1CE3175A">
      <w:pPr>
        <w:pStyle w:val="FootnoteText"/>
        <w:rPr>
          <w:sz w:val="20"/>
          <w:szCs w:val="20"/>
        </w:rPr>
      </w:pPr>
      <w:r w:rsidRPr="00972C29">
        <w:rPr>
          <w:rStyle w:val="FootnoteReference"/>
          <w:sz w:val="20"/>
          <w:szCs w:val="20"/>
        </w:rPr>
        <w:footnoteRef/>
      </w:r>
      <w:r w:rsidRPr="00972C29">
        <w:rPr>
          <w:sz w:val="20"/>
          <w:szCs w:val="20"/>
        </w:rPr>
        <w:t xml:space="preserve"> Tr. at 35.</w:t>
      </w:r>
    </w:p>
  </w:footnote>
  <w:footnote w:id="125">
    <w:p w:rsidRPr="00972C29" w:rsidR="0081089D" w:rsidRDefault="0081089D" w14:paraId="0C07803A" w14:textId="1C0A3F77">
      <w:pPr>
        <w:pStyle w:val="FootnoteText"/>
        <w:rPr>
          <w:sz w:val="20"/>
          <w:szCs w:val="20"/>
        </w:rPr>
      </w:pPr>
      <w:r w:rsidRPr="00972C29">
        <w:rPr>
          <w:rStyle w:val="FootnoteReference"/>
          <w:sz w:val="20"/>
          <w:szCs w:val="20"/>
        </w:rPr>
        <w:footnoteRef/>
      </w:r>
      <w:r w:rsidRPr="00972C29">
        <w:rPr>
          <w:sz w:val="20"/>
          <w:szCs w:val="20"/>
        </w:rPr>
        <w:t xml:space="preserve"> Tr. at 35. </w:t>
      </w:r>
      <w:r w:rsidRPr="00972C29">
        <w:rPr>
          <w:sz w:val="20"/>
          <w:szCs w:val="20"/>
          <w:u w:val="single"/>
        </w:rPr>
        <w:t>See</w:t>
      </w:r>
      <w:r w:rsidRPr="00972C29">
        <w:rPr>
          <w:sz w:val="20"/>
          <w:szCs w:val="20"/>
        </w:rPr>
        <w:t xml:space="preserve"> </w:t>
      </w:r>
      <w:r w:rsidRPr="00972C29">
        <w:rPr>
          <w:sz w:val="20"/>
          <w:szCs w:val="20"/>
          <w:u w:val="single"/>
        </w:rPr>
        <w:t>also</w:t>
      </w:r>
      <w:r w:rsidRPr="00972C29">
        <w:rPr>
          <w:sz w:val="20"/>
          <w:szCs w:val="20"/>
        </w:rPr>
        <w:t xml:space="preserve"> </w:t>
      </w:r>
      <w:r w:rsidRPr="00972C29">
        <w:rPr>
          <w:i/>
          <w:sz w:val="20"/>
          <w:szCs w:val="20"/>
        </w:rPr>
        <w:t>Gomez-</w:t>
      </w:r>
      <w:proofErr w:type="spellStart"/>
      <w:r w:rsidRPr="00972C29">
        <w:rPr>
          <w:i/>
          <w:sz w:val="20"/>
          <w:szCs w:val="20"/>
        </w:rPr>
        <w:t>Zuluaga</w:t>
      </w:r>
      <w:proofErr w:type="spellEnd"/>
      <w:r w:rsidRPr="00972C29">
        <w:rPr>
          <w:i/>
          <w:sz w:val="20"/>
          <w:szCs w:val="20"/>
        </w:rPr>
        <w:t xml:space="preserve"> v. Atty. Gen. of U.S.</w:t>
      </w:r>
      <w:r w:rsidRPr="00972C29">
        <w:rPr>
          <w:sz w:val="20"/>
          <w:szCs w:val="20"/>
        </w:rPr>
        <w:t xml:space="preserve">, 527 F.3d 330 (3d Cir. 2008) (holding that it is petitioner’s escapee </w:t>
      </w:r>
      <w:r w:rsidRPr="00F96AE5">
        <w:rPr>
          <w:i/>
          <w:sz w:val="20"/>
          <w:szCs w:val="20"/>
        </w:rPr>
        <w:t>status</w:t>
      </w:r>
      <w:r w:rsidRPr="00972C29">
        <w:rPr>
          <w:sz w:val="20"/>
          <w:szCs w:val="20"/>
        </w:rPr>
        <w:t xml:space="preserve"> that is likely to motivate the FARC to seek her and persecute her in the future even if she is no longer in prison). </w:t>
      </w:r>
    </w:p>
  </w:footnote>
  <w:footnote w:id="126">
    <w:p w:rsidRPr="00972C29" w:rsidR="0081089D" w:rsidRDefault="0081089D" w14:paraId="289CBAED" w14:textId="0F7918E8">
      <w:pPr>
        <w:pStyle w:val="FootnoteText"/>
        <w:rPr>
          <w:sz w:val="20"/>
          <w:szCs w:val="20"/>
        </w:rPr>
      </w:pPr>
      <w:r w:rsidRPr="00972C29">
        <w:rPr>
          <w:rStyle w:val="FootnoteReference"/>
          <w:sz w:val="20"/>
          <w:szCs w:val="20"/>
        </w:rPr>
        <w:footnoteRef/>
      </w:r>
      <w:r w:rsidRPr="00972C29">
        <w:rPr>
          <w:sz w:val="20"/>
          <w:szCs w:val="20"/>
        </w:rPr>
        <w:t xml:space="preserve"> </w:t>
      </w:r>
      <w:r w:rsidRPr="00972C29">
        <w:rPr>
          <w:i/>
          <w:sz w:val="20"/>
          <w:szCs w:val="20"/>
        </w:rPr>
        <w:t>Gonzalez-Posadas v. Atty. Gen. U.S.</w:t>
      </w:r>
      <w:r w:rsidRPr="00972C29">
        <w:rPr>
          <w:sz w:val="20"/>
          <w:szCs w:val="20"/>
        </w:rPr>
        <w:t>, 781 F.3d 677, 683 (3d Cir. 2015)</w:t>
      </w:r>
      <w:r w:rsidR="00C47D73">
        <w:rPr>
          <w:sz w:val="20"/>
          <w:szCs w:val="20"/>
        </w:rPr>
        <w:t>.</w:t>
      </w:r>
    </w:p>
  </w:footnote>
  <w:footnote w:id="127">
    <w:p w:rsidRPr="00972C29" w:rsidR="0081089D" w:rsidRDefault="0081089D" w14:paraId="73858ECE" w14:textId="0608FEC0">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r w:rsidRPr="00972C29">
        <w:rPr>
          <w:sz w:val="20"/>
          <w:szCs w:val="20"/>
        </w:rPr>
        <w:t xml:space="preserve"> at 686.</w:t>
      </w:r>
    </w:p>
  </w:footnote>
  <w:footnote w:id="128">
    <w:p w:rsidRPr="00972C29" w:rsidR="0081089D" w:rsidRDefault="0081089D" w14:paraId="068EE4C5" w14:textId="2AE87EC1">
      <w:pPr>
        <w:pStyle w:val="FootnoteText"/>
        <w:rPr>
          <w:sz w:val="20"/>
          <w:szCs w:val="20"/>
        </w:rPr>
      </w:pPr>
      <w:r w:rsidRPr="00972C29">
        <w:rPr>
          <w:rStyle w:val="FootnoteReference"/>
          <w:sz w:val="20"/>
          <w:szCs w:val="20"/>
        </w:rPr>
        <w:footnoteRef/>
      </w:r>
      <w:r w:rsidRPr="00972C29">
        <w:rPr>
          <w:sz w:val="20"/>
          <w:szCs w:val="20"/>
        </w:rPr>
        <w:t xml:space="preserve"> </w:t>
      </w:r>
      <w:r w:rsidRPr="00972C29">
        <w:rPr>
          <w:sz w:val="20"/>
          <w:szCs w:val="20"/>
          <w:u w:val="single"/>
        </w:rPr>
        <w:t>Id.</w:t>
      </w:r>
      <w:r w:rsidRPr="00972C29">
        <w:rPr>
          <w:sz w:val="20"/>
          <w:szCs w:val="20"/>
        </w:rPr>
        <w:t xml:space="preserve"> at 688.</w:t>
      </w:r>
    </w:p>
  </w:footnote>
  <w:footnote w:id="129">
    <w:p w:rsidRPr="00972C29" w:rsidR="0081089D" w:rsidRDefault="0081089D" w14:paraId="5EB7B398" w14:textId="5D4B09C7">
      <w:pPr>
        <w:pStyle w:val="FootnoteText"/>
        <w:rPr>
          <w:sz w:val="20"/>
          <w:szCs w:val="20"/>
        </w:rPr>
      </w:pPr>
      <w:r w:rsidRPr="00972C29">
        <w:rPr>
          <w:rStyle w:val="FootnoteReference"/>
          <w:sz w:val="20"/>
          <w:szCs w:val="20"/>
        </w:rPr>
        <w:footnoteRef/>
      </w:r>
      <w:r w:rsidRPr="00972C29">
        <w:rPr>
          <w:sz w:val="20"/>
          <w:szCs w:val="20"/>
        </w:rPr>
        <w:t xml:space="preserve"> </w:t>
      </w:r>
      <w:proofErr w:type="spellStart"/>
      <w:r w:rsidRPr="00972C29" w:rsidR="00BD476A">
        <w:rPr>
          <w:sz w:val="20"/>
          <w:szCs w:val="20"/>
        </w:rPr>
        <w:t>Exh</w:t>
      </w:r>
      <w:proofErr w:type="spellEnd"/>
      <w:r w:rsidRPr="00972C29" w:rsidR="00BD476A">
        <w:rPr>
          <w:sz w:val="20"/>
          <w:szCs w:val="20"/>
        </w:rPr>
        <w:t xml:space="preserve">. </w:t>
      </w:r>
      <w:r w:rsidR="00BD476A">
        <w:rPr>
          <w:sz w:val="20"/>
          <w:szCs w:val="20"/>
        </w:rPr>
        <w:t xml:space="preserve">6A, </w:t>
      </w:r>
      <w:r w:rsidR="00706EEB">
        <w:rPr>
          <w:sz w:val="20"/>
          <w:szCs w:val="20"/>
        </w:rPr>
        <w:t>A-</w:t>
      </w:r>
      <w:r w:rsidRPr="00972C29">
        <w:rPr>
          <w:sz w:val="20"/>
          <w:szCs w:val="20"/>
        </w:rPr>
        <w:t xml:space="preserve"> </w:t>
      </w:r>
      <w:proofErr w:type="spellStart"/>
      <w:r w:rsidRPr="00972C29">
        <w:rPr>
          <w:sz w:val="20"/>
          <w:szCs w:val="20"/>
        </w:rPr>
        <w:t>Aff</w:t>
      </w:r>
      <w:proofErr w:type="spellEnd"/>
      <w:r w:rsidRPr="00972C29">
        <w:rPr>
          <w:sz w:val="20"/>
          <w:szCs w:val="20"/>
        </w:rPr>
        <w:t>. ¶ 7.</w:t>
      </w:r>
    </w:p>
  </w:footnote>
  <w:footnote w:id="130">
    <w:p w:rsidRPr="00972C29" w:rsidR="0081089D" w:rsidRDefault="0081089D" w14:paraId="7E691373" w14:textId="32577D89">
      <w:pPr>
        <w:pStyle w:val="FootnoteText"/>
        <w:rPr>
          <w:sz w:val="20"/>
          <w:szCs w:val="20"/>
        </w:rPr>
      </w:pPr>
      <w:r w:rsidRPr="00972C29">
        <w:rPr>
          <w:rStyle w:val="FootnoteReference"/>
          <w:sz w:val="20"/>
          <w:szCs w:val="20"/>
        </w:rPr>
        <w:footnoteRef/>
      </w:r>
      <w:r w:rsidRPr="00972C29">
        <w:rPr>
          <w:sz w:val="20"/>
          <w:szCs w:val="20"/>
        </w:rPr>
        <w:t xml:space="preserve"> Tr. at 28-29. </w:t>
      </w:r>
    </w:p>
  </w:footnote>
  <w:footnote w:id="131">
    <w:p w:rsidRPr="00972C29" w:rsidR="00EA47F4" w:rsidRDefault="00EA47F4" w14:paraId="39E2371C" w14:textId="2EB473FA">
      <w:pPr>
        <w:pStyle w:val="FootnoteText"/>
        <w:rPr>
          <w:sz w:val="20"/>
          <w:szCs w:val="20"/>
        </w:rPr>
      </w:pPr>
      <w:r w:rsidRPr="00972C29">
        <w:rPr>
          <w:rStyle w:val="FootnoteReference"/>
          <w:sz w:val="20"/>
          <w:szCs w:val="20"/>
        </w:rPr>
        <w:footnoteRef/>
      </w:r>
      <w:r w:rsidRPr="00972C29">
        <w:rPr>
          <w:sz w:val="20"/>
          <w:szCs w:val="20"/>
        </w:rPr>
        <w:t xml:space="preserve"> Although the only particular social group proffered before the IJ was “Independent Professional Working Women,” and the BIA has recently held that applicants must set forth the relevant particular social groups before the IJ, </w:t>
      </w:r>
      <w:r w:rsidRPr="00972C29" w:rsidR="002323BC">
        <w:rPr>
          <w:i/>
          <w:sz w:val="20"/>
          <w:szCs w:val="20"/>
        </w:rPr>
        <w:t>Matter of W-Y-C- &amp; H-O-B-</w:t>
      </w:r>
      <w:r w:rsidRPr="00972C29" w:rsidR="002323BC">
        <w:rPr>
          <w:sz w:val="20"/>
          <w:szCs w:val="20"/>
        </w:rPr>
        <w:t>, 27 I. &amp; N. Dec. 189 (BIA 2018)</w:t>
      </w:r>
      <w:r w:rsidRPr="00972C29">
        <w:rPr>
          <w:sz w:val="20"/>
          <w:szCs w:val="20"/>
        </w:rPr>
        <w:t xml:space="preserve">, we note that </w:t>
      </w:r>
      <w:r w:rsidR="00706EEB">
        <w:rPr>
          <w:sz w:val="20"/>
          <w:szCs w:val="20"/>
        </w:rPr>
        <w:t>A-</w:t>
      </w:r>
      <w:r w:rsidRPr="00972C29">
        <w:rPr>
          <w:sz w:val="20"/>
          <w:szCs w:val="20"/>
        </w:rPr>
        <w:t xml:space="preserve"> would also be eligible for withholding of removal due to her membership in other particular social groups, such as “Mexican Women,” and “Mexican Women in Relationships </w:t>
      </w:r>
      <w:r w:rsidR="007E13C1">
        <w:rPr>
          <w:sz w:val="20"/>
          <w:szCs w:val="20"/>
        </w:rPr>
        <w:t>who</w:t>
      </w:r>
      <w:r w:rsidRPr="00972C29">
        <w:rPr>
          <w:sz w:val="20"/>
          <w:szCs w:val="20"/>
        </w:rPr>
        <w:t xml:space="preserve"> are Unable to Leave.”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426"/>
    <w:multiLevelType w:val="hybridMultilevel"/>
    <w:tmpl w:val="7DCEBD42"/>
    <w:lvl w:ilvl="0" w:tplc="F9641E7A">
      <w:start w:val="1"/>
      <w:numFmt w:val="upperRoman"/>
      <w:lvlText w:val="%1."/>
      <w:lvlJc w:val="left"/>
      <w:pPr>
        <w:ind w:left="1080" w:hanging="720"/>
      </w:pPr>
      <w:rPr>
        <w:rFonts w:hint="default" w:ascii="Times New Roman" w:hAnsi="Times New Roman" w:eastAsia="Batang" w:cs="Times New Roman"/>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86906"/>
    <w:multiLevelType w:val="hybridMultilevel"/>
    <w:tmpl w:val="C97C40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26558C"/>
    <w:multiLevelType w:val="hybridMultilevel"/>
    <w:tmpl w:val="648CB57E"/>
    <w:lvl w:ilvl="0" w:tplc="603E9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442FA"/>
    <w:multiLevelType w:val="hybridMultilevel"/>
    <w:tmpl w:val="EDDC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61ADE"/>
    <w:multiLevelType w:val="hybridMultilevel"/>
    <w:tmpl w:val="0C687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8033F6"/>
    <w:multiLevelType w:val="hybridMultilevel"/>
    <w:tmpl w:val="3A74FFCE"/>
    <w:lvl w:ilvl="0" w:tplc="2C528E0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B4C99"/>
    <w:multiLevelType w:val="hybridMultilevel"/>
    <w:tmpl w:val="462C6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8E019F"/>
    <w:multiLevelType w:val="hybridMultilevel"/>
    <w:tmpl w:val="EF08C034"/>
    <w:lvl w:ilvl="0" w:tplc="097077D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51D29"/>
    <w:multiLevelType w:val="hybridMultilevel"/>
    <w:tmpl w:val="2BC45FFA"/>
    <w:lvl w:ilvl="0" w:tplc="603E9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406EFB"/>
    <w:multiLevelType w:val="hybridMultilevel"/>
    <w:tmpl w:val="8FA2B64A"/>
    <w:lvl w:ilvl="0" w:tplc="37A89D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A0B2B"/>
    <w:multiLevelType w:val="hybridMultilevel"/>
    <w:tmpl w:val="4AE819C2"/>
    <w:lvl w:ilvl="0" w:tplc="27F43778">
      <w:start w:val="2"/>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6F33A8"/>
    <w:multiLevelType w:val="hybridMultilevel"/>
    <w:tmpl w:val="0E264E2C"/>
    <w:lvl w:ilvl="0" w:tplc="45E01110">
      <w:start w:val="1"/>
      <w:numFmt w:val="upperRoman"/>
      <w:lvlText w:val="%1."/>
      <w:lvlJc w:val="left"/>
      <w:pPr>
        <w:ind w:left="1800" w:hanging="720"/>
      </w:pPr>
      <w:rPr>
        <w:rFonts w:hint="default" w:ascii="Times New Roman" w:hAnsi="Times New Roman" w:eastAsia="Batang" w:cs="Times New Roman"/>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2864AD"/>
    <w:multiLevelType w:val="hybridMultilevel"/>
    <w:tmpl w:val="29FE6656"/>
    <w:lvl w:ilvl="0" w:tplc="2C528E0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05992"/>
    <w:multiLevelType w:val="hybridMultilevel"/>
    <w:tmpl w:val="D764D780"/>
    <w:lvl w:ilvl="0" w:tplc="603E9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EC5AA5"/>
    <w:multiLevelType w:val="hybridMultilevel"/>
    <w:tmpl w:val="D2DCFB78"/>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A658EC"/>
    <w:multiLevelType w:val="hybridMultilevel"/>
    <w:tmpl w:val="C7FA8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1F3A91"/>
    <w:multiLevelType w:val="hybridMultilevel"/>
    <w:tmpl w:val="155CB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5724D8"/>
    <w:multiLevelType w:val="hybridMultilevel"/>
    <w:tmpl w:val="FEE2CA06"/>
    <w:lvl w:ilvl="0" w:tplc="20C48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082983"/>
    <w:multiLevelType w:val="hybridMultilevel"/>
    <w:tmpl w:val="0E8ED4A4"/>
    <w:lvl w:ilvl="0" w:tplc="50868B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DA2CAD"/>
    <w:multiLevelType w:val="hybridMultilevel"/>
    <w:tmpl w:val="2BC45FFA"/>
    <w:lvl w:ilvl="0" w:tplc="603E9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6C50C8"/>
    <w:multiLevelType w:val="multilevel"/>
    <w:tmpl w:val="80AA7B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BAC2446"/>
    <w:multiLevelType w:val="multilevel"/>
    <w:tmpl w:val="82DCB3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9E12D9A"/>
    <w:multiLevelType w:val="multilevel"/>
    <w:tmpl w:val="AF749E8A"/>
    <w:lvl w:ilvl="0" w:tplc="09380C1E">
      <w:start w:val="1"/>
      <w:numFmt w:val="upperRoman"/>
      <w:lvlText w:val="%1."/>
      <w:lvlJc w:val="left"/>
      <w:pPr>
        <w:ind w:left="1080" w:hanging="720"/>
      </w:pPr>
      <w:rPr>
        <w:rFonts w:hint="default"/>
      </w:rPr>
    </w:lvl>
    <w:lvl w:ilvl="1" w:tplc="DD0C9AE0">
      <w:start w:val="1"/>
      <w:numFmt w:val="lowerLetter"/>
      <w:lvlText w:val="%2."/>
      <w:lvlJc w:val="left"/>
      <w:pPr>
        <w:ind w:left="1440" w:hanging="360"/>
      </w:pPr>
      <w:rPr>
        <w:b w:val="0"/>
      </w:rPr>
    </w:lvl>
    <w:lvl w:ilvl="2" w:tplc="8CC299C6">
      <w:start w:val="1"/>
      <w:numFmt w:val="lowerRoman"/>
      <w:lvlText w:val="%3."/>
      <w:lvlJc w:val="right"/>
      <w:pPr>
        <w:ind w:left="2160" w:hanging="180"/>
      </w:pPr>
      <w:rPr>
        <w:b w:val="0"/>
      </w:rPr>
    </w:lvl>
    <w:lvl w:ilvl="3" w:tplc="8918DB42">
      <w:start w:val="1"/>
      <w:numFmt w:val="decimal"/>
      <w:lvlText w:val="%4."/>
      <w:lvlJc w:val="left"/>
      <w:pPr>
        <w:ind w:left="2880" w:hanging="360"/>
      </w:pPr>
      <w:rPr>
        <w:b w:val="0"/>
      </w:rPr>
    </w:lvl>
    <w:lvl w:ilvl="4" w:tplc="930A77F2">
      <w:start w:val="1"/>
      <w:numFmt w:val="lowerLetter"/>
      <w:lvlText w:val="%5."/>
      <w:lvlJc w:val="left"/>
      <w:pPr>
        <w:ind w:left="3600" w:hanging="360"/>
      </w:pPr>
      <w:rPr>
        <w:b w:val="0"/>
        <w:color w:val="auto"/>
      </w:rPr>
    </w:lvl>
    <w:lvl w:ilvl="5" w:tplc="90C8C440">
      <w:start w:val="1"/>
      <w:numFmt w:val="lowerRoman"/>
      <w:lvlText w:val="%6."/>
      <w:lvlJc w:val="right"/>
      <w:pPr>
        <w:ind w:left="4320" w:hanging="180"/>
      </w:pPr>
      <w:rPr>
        <w:b w:val="0"/>
        <w:color w:val="auto"/>
      </w:rPr>
    </w:lvl>
    <w:lvl w:ilvl="6" w:tplc="ADBECF9E">
      <w:start w:val="1"/>
      <w:numFmt w:val="decimal"/>
      <w:lvlText w:val="%7."/>
      <w:lvlJc w:val="left"/>
      <w:pPr>
        <w:ind w:left="5040" w:hanging="360"/>
      </w:pPr>
      <w:rPr>
        <w:b w:val="0"/>
        <w:color w:val="auto"/>
      </w:rPr>
    </w:lvl>
    <w:lvl w:ilvl="7" w:tplc="C554BBF6">
      <w:start w:val="1"/>
      <w:numFmt w:val="lowerLetter"/>
      <w:lvlText w:val="%8."/>
      <w:lvlJc w:val="left"/>
      <w:pPr>
        <w:ind w:left="5760" w:hanging="360"/>
      </w:pPr>
      <w:rPr>
        <w:b w:val="0"/>
        <w:color w:val="auto"/>
      </w:rPr>
    </w:lvl>
    <w:lvl w:ilvl="8" w:tplc="0409001B">
      <w:start w:val="1"/>
      <w:numFmt w:val="lowerRoman"/>
      <w:lvlText w:val="%9."/>
      <w:lvlJc w:val="right"/>
      <w:pPr>
        <w:ind w:left="6480" w:hanging="180"/>
      </w:pPr>
    </w:lvl>
  </w:abstractNum>
  <w:abstractNum w:abstractNumId="23">
    <w:nsid w:val="6EFE4759"/>
    <w:multiLevelType w:val="hybridMultilevel"/>
    <w:tmpl w:val="09FA33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13A1AB2"/>
    <w:multiLevelType w:val="hybridMultilevel"/>
    <w:tmpl w:val="8FD2F594"/>
    <w:lvl w:ilvl="0" w:tplc="603E9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9F3CA6"/>
    <w:multiLevelType w:val="hybridMultilevel"/>
    <w:tmpl w:val="D2DCFB78"/>
    <w:lvl w:ilvl="0" w:tplc="E6FE61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101620"/>
    <w:multiLevelType w:val="hybridMultilevel"/>
    <w:tmpl w:val="2BC45FFA"/>
    <w:lvl w:ilvl="0" w:tplc="603E9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5"/>
  </w:num>
  <w:num w:numId="4">
    <w:abstractNumId w:val="3"/>
  </w:num>
  <w:num w:numId="5">
    <w:abstractNumId w:val="16"/>
  </w:num>
  <w:num w:numId="6">
    <w:abstractNumId w:val="12"/>
  </w:num>
  <w:num w:numId="7">
    <w:abstractNumId w:val="25"/>
  </w:num>
  <w:num w:numId="8">
    <w:abstractNumId w:val="7"/>
  </w:num>
  <w:num w:numId="9">
    <w:abstractNumId w:val="9"/>
  </w:num>
  <w:num w:numId="10">
    <w:abstractNumId w:val="18"/>
  </w:num>
  <w:num w:numId="11">
    <w:abstractNumId w:val="19"/>
  </w:num>
  <w:num w:numId="12">
    <w:abstractNumId w:val="10"/>
  </w:num>
  <w:num w:numId="13">
    <w:abstractNumId w:val="26"/>
  </w:num>
  <w:num w:numId="14">
    <w:abstractNumId w:val="11"/>
  </w:num>
  <w:num w:numId="15">
    <w:abstractNumId w:val="0"/>
  </w:num>
  <w:num w:numId="16">
    <w:abstractNumId w:val="8"/>
  </w:num>
  <w:num w:numId="17">
    <w:abstractNumId w:val="2"/>
  </w:num>
  <w:num w:numId="18">
    <w:abstractNumId w:val="24"/>
  </w:num>
  <w:num w:numId="19">
    <w:abstractNumId w:val="13"/>
  </w:num>
  <w:num w:numId="20">
    <w:abstractNumId w:val="23"/>
  </w:num>
  <w:num w:numId="21">
    <w:abstractNumId w:val="1"/>
  </w:num>
  <w:num w:numId="22">
    <w:abstractNumId w:val="4"/>
  </w:num>
  <w:num w:numId="23">
    <w:abstractNumId w:val="20"/>
  </w:num>
  <w:num w:numId="24">
    <w:abstractNumId w:val="6"/>
  </w:num>
  <w:num w:numId="25">
    <w:abstractNumId w:val="15"/>
  </w:num>
  <w:num w:numId="26">
    <w:abstractNumId w:val="21"/>
  </w:num>
  <w:num w:numId="2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D6"/>
    <w:rsid w:val="00011E0F"/>
    <w:rsid w:val="000123E3"/>
    <w:rsid w:val="0001467F"/>
    <w:rsid w:val="00031DC2"/>
    <w:rsid w:val="0003450D"/>
    <w:rsid w:val="00045A5D"/>
    <w:rsid w:val="00062711"/>
    <w:rsid w:val="00064C57"/>
    <w:rsid w:val="00084DAF"/>
    <w:rsid w:val="00091D19"/>
    <w:rsid w:val="0009593D"/>
    <w:rsid w:val="000A1E35"/>
    <w:rsid w:val="000B7F3E"/>
    <w:rsid w:val="000C4EA5"/>
    <w:rsid w:val="000D529D"/>
    <w:rsid w:val="000D5D7F"/>
    <w:rsid w:val="000D61DE"/>
    <w:rsid w:val="000E22A1"/>
    <w:rsid w:val="000F13FD"/>
    <w:rsid w:val="000F2949"/>
    <w:rsid w:val="001038F7"/>
    <w:rsid w:val="00124A0C"/>
    <w:rsid w:val="00146C7F"/>
    <w:rsid w:val="00193742"/>
    <w:rsid w:val="001C449A"/>
    <w:rsid w:val="001E1E52"/>
    <w:rsid w:val="001E497A"/>
    <w:rsid w:val="00205D54"/>
    <w:rsid w:val="00217B72"/>
    <w:rsid w:val="002323BC"/>
    <w:rsid w:val="0024720C"/>
    <w:rsid w:val="00270297"/>
    <w:rsid w:val="00271C6C"/>
    <w:rsid w:val="002777BA"/>
    <w:rsid w:val="002B4659"/>
    <w:rsid w:val="002B4E40"/>
    <w:rsid w:val="002C1683"/>
    <w:rsid w:val="002C27A9"/>
    <w:rsid w:val="002C5F3B"/>
    <w:rsid w:val="002C73D6"/>
    <w:rsid w:val="002F2DAF"/>
    <w:rsid w:val="00304114"/>
    <w:rsid w:val="0031104B"/>
    <w:rsid w:val="003123D6"/>
    <w:rsid w:val="00315A08"/>
    <w:rsid w:val="00320DFC"/>
    <w:rsid w:val="003538E5"/>
    <w:rsid w:val="00356D9D"/>
    <w:rsid w:val="00361573"/>
    <w:rsid w:val="00384982"/>
    <w:rsid w:val="003A0BF7"/>
    <w:rsid w:val="003A365E"/>
    <w:rsid w:val="003A3AC4"/>
    <w:rsid w:val="003B3CA9"/>
    <w:rsid w:val="003C5A1B"/>
    <w:rsid w:val="003D018F"/>
    <w:rsid w:val="003D2E6D"/>
    <w:rsid w:val="00403313"/>
    <w:rsid w:val="00413342"/>
    <w:rsid w:val="0041493C"/>
    <w:rsid w:val="00415B96"/>
    <w:rsid w:val="00430D7A"/>
    <w:rsid w:val="00434B54"/>
    <w:rsid w:val="00441DDE"/>
    <w:rsid w:val="00454F9C"/>
    <w:rsid w:val="004807DC"/>
    <w:rsid w:val="004901B9"/>
    <w:rsid w:val="0049159F"/>
    <w:rsid w:val="0049364E"/>
    <w:rsid w:val="004A550D"/>
    <w:rsid w:val="004A59C5"/>
    <w:rsid w:val="004C23F9"/>
    <w:rsid w:val="004D57F8"/>
    <w:rsid w:val="004D6247"/>
    <w:rsid w:val="004F58FC"/>
    <w:rsid w:val="00506842"/>
    <w:rsid w:val="00522C23"/>
    <w:rsid w:val="0053238E"/>
    <w:rsid w:val="00535069"/>
    <w:rsid w:val="0056462F"/>
    <w:rsid w:val="00574BE1"/>
    <w:rsid w:val="0057793F"/>
    <w:rsid w:val="00577E8A"/>
    <w:rsid w:val="0058280A"/>
    <w:rsid w:val="00582C82"/>
    <w:rsid w:val="005A7D22"/>
    <w:rsid w:val="005D42E1"/>
    <w:rsid w:val="005E4E70"/>
    <w:rsid w:val="005E7797"/>
    <w:rsid w:val="006238A0"/>
    <w:rsid w:val="00645FA4"/>
    <w:rsid w:val="00681E13"/>
    <w:rsid w:val="00685839"/>
    <w:rsid w:val="006929EC"/>
    <w:rsid w:val="006944E3"/>
    <w:rsid w:val="006B2062"/>
    <w:rsid w:val="006E4BC5"/>
    <w:rsid w:val="00700501"/>
    <w:rsid w:val="007061AD"/>
    <w:rsid w:val="00706EEB"/>
    <w:rsid w:val="0071293B"/>
    <w:rsid w:val="00724521"/>
    <w:rsid w:val="00771667"/>
    <w:rsid w:val="00776B2C"/>
    <w:rsid w:val="0078512F"/>
    <w:rsid w:val="00786128"/>
    <w:rsid w:val="00794AB6"/>
    <w:rsid w:val="0079509E"/>
    <w:rsid w:val="007D7C33"/>
    <w:rsid w:val="007E13C1"/>
    <w:rsid w:val="007E596F"/>
    <w:rsid w:val="007E7EF3"/>
    <w:rsid w:val="007F2F93"/>
    <w:rsid w:val="007F4C56"/>
    <w:rsid w:val="00810679"/>
    <w:rsid w:val="0081089D"/>
    <w:rsid w:val="00815B70"/>
    <w:rsid w:val="00832E9A"/>
    <w:rsid w:val="00837678"/>
    <w:rsid w:val="00840CC8"/>
    <w:rsid w:val="00841441"/>
    <w:rsid w:val="00867438"/>
    <w:rsid w:val="008B2068"/>
    <w:rsid w:val="008C265A"/>
    <w:rsid w:val="008D416E"/>
    <w:rsid w:val="008F4E4A"/>
    <w:rsid w:val="009175EC"/>
    <w:rsid w:val="00917868"/>
    <w:rsid w:val="00927022"/>
    <w:rsid w:val="0093106F"/>
    <w:rsid w:val="00945953"/>
    <w:rsid w:val="0096289F"/>
    <w:rsid w:val="00972C29"/>
    <w:rsid w:val="00987F3F"/>
    <w:rsid w:val="00995060"/>
    <w:rsid w:val="00A157C9"/>
    <w:rsid w:val="00A63AF9"/>
    <w:rsid w:val="00A642D4"/>
    <w:rsid w:val="00A6685F"/>
    <w:rsid w:val="00A72C82"/>
    <w:rsid w:val="00A8205F"/>
    <w:rsid w:val="00AA2B4E"/>
    <w:rsid w:val="00AB2ED9"/>
    <w:rsid w:val="00AD6951"/>
    <w:rsid w:val="00AE70BB"/>
    <w:rsid w:val="00AE7D05"/>
    <w:rsid w:val="00B205D7"/>
    <w:rsid w:val="00B500B8"/>
    <w:rsid w:val="00B86E0A"/>
    <w:rsid w:val="00BC2C0A"/>
    <w:rsid w:val="00BC55E6"/>
    <w:rsid w:val="00BC74DB"/>
    <w:rsid w:val="00BD3862"/>
    <w:rsid w:val="00BD476A"/>
    <w:rsid w:val="00BD5117"/>
    <w:rsid w:val="00BD60BF"/>
    <w:rsid w:val="00BF3D63"/>
    <w:rsid w:val="00BF4FB4"/>
    <w:rsid w:val="00C167C4"/>
    <w:rsid w:val="00C17772"/>
    <w:rsid w:val="00C279DF"/>
    <w:rsid w:val="00C47D73"/>
    <w:rsid w:val="00C63B3A"/>
    <w:rsid w:val="00C838FD"/>
    <w:rsid w:val="00C83ED0"/>
    <w:rsid w:val="00C861B5"/>
    <w:rsid w:val="00C9202C"/>
    <w:rsid w:val="00C9539C"/>
    <w:rsid w:val="00C95CDD"/>
    <w:rsid w:val="00CB3D19"/>
    <w:rsid w:val="00CC1C02"/>
    <w:rsid w:val="00CD235C"/>
    <w:rsid w:val="00CD2C07"/>
    <w:rsid w:val="00CE0884"/>
    <w:rsid w:val="00D16E3C"/>
    <w:rsid w:val="00D20A24"/>
    <w:rsid w:val="00D20EF1"/>
    <w:rsid w:val="00D24360"/>
    <w:rsid w:val="00D252DA"/>
    <w:rsid w:val="00D32A8D"/>
    <w:rsid w:val="00D35A01"/>
    <w:rsid w:val="00D62104"/>
    <w:rsid w:val="00DA281D"/>
    <w:rsid w:val="00DA37F1"/>
    <w:rsid w:val="00DB3700"/>
    <w:rsid w:val="00DC0266"/>
    <w:rsid w:val="00DC6B94"/>
    <w:rsid w:val="00DC700B"/>
    <w:rsid w:val="00DE3BF0"/>
    <w:rsid w:val="00DE7FB3"/>
    <w:rsid w:val="00DF6AEA"/>
    <w:rsid w:val="00E20A57"/>
    <w:rsid w:val="00E30841"/>
    <w:rsid w:val="00E3270E"/>
    <w:rsid w:val="00E32B82"/>
    <w:rsid w:val="00E56B02"/>
    <w:rsid w:val="00E702F1"/>
    <w:rsid w:val="00E85E9D"/>
    <w:rsid w:val="00E933FD"/>
    <w:rsid w:val="00EA47F4"/>
    <w:rsid w:val="00EB1518"/>
    <w:rsid w:val="00ED553D"/>
    <w:rsid w:val="00EF0809"/>
    <w:rsid w:val="00EF2473"/>
    <w:rsid w:val="00F22E63"/>
    <w:rsid w:val="00F26580"/>
    <w:rsid w:val="00F279E9"/>
    <w:rsid w:val="00F34249"/>
    <w:rsid w:val="00F44138"/>
    <w:rsid w:val="00F45771"/>
    <w:rsid w:val="00F53B70"/>
    <w:rsid w:val="00F808E9"/>
    <w:rsid w:val="00F84C30"/>
    <w:rsid w:val="00F9327E"/>
    <w:rsid w:val="00F96AE5"/>
    <w:rsid w:val="00FA6620"/>
    <w:rsid w:val="00FA7495"/>
    <w:rsid w:val="00FB4EAA"/>
    <w:rsid w:val="00FC6889"/>
    <w:rsid w:val="2EF3AB9B"/>
    <w:rsid w:val="79F5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B1490"/>
  <w14:defaultImageDpi w14:val="32767"/>
  <w15:docId w15:val="{269e8e3f-b3c0-49a5-81c7-5dc6f8a30b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eastAsia="Batang" w:ascii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123D6"/>
    <w:rPr>
      <w:rFonts w:ascii="Times New Roman" w:hAnsi="Times New Roman" w:cs="Times New Roman"/>
      <w:lang w:eastAsia="ko-K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123D6"/>
    <w:pPr>
      <w:tabs>
        <w:tab w:val="center" w:pos="4680"/>
        <w:tab w:val="right" w:pos="9360"/>
      </w:tabs>
    </w:pPr>
  </w:style>
  <w:style w:type="character" w:styleId="HeaderChar" w:customStyle="1">
    <w:name w:val="Header Char"/>
    <w:basedOn w:val="DefaultParagraphFont"/>
    <w:link w:val="Header"/>
    <w:uiPriority w:val="99"/>
    <w:rsid w:val="003123D6"/>
    <w:rPr>
      <w:rFonts w:ascii="Times New Roman" w:hAnsi="Times New Roman" w:eastAsia="Batang" w:cs="Times New Roman"/>
      <w:lang w:eastAsia="ko-KR"/>
    </w:rPr>
  </w:style>
  <w:style w:type="paragraph" w:styleId="Footer">
    <w:name w:val="footer"/>
    <w:basedOn w:val="Normal"/>
    <w:link w:val="FooterChar"/>
    <w:uiPriority w:val="99"/>
    <w:unhideWhenUsed/>
    <w:rsid w:val="003123D6"/>
    <w:pPr>
      <w:tabs>
        <w:tab w:val="center" w:pos="4680"/>
        <w:tab w:val="right" w:pos="9360"/>
      </w:tabs>
    </w:pPr>
  </w:style>
  <w:style w:type="character" w:styleId="FooterChar" w:customStyle="1">
    <w:name w:val="Footer Char"/>
    <w:basedOn w:val="DefaultParagraphFont"/>
    <w:link w:val="Footer"/>
    <w:uiPriority w:val="99"/>
    <w:rsid w:val="003123D6"/>
    <w:rPr>
      <w:rFonts w:ascii="Times New Roman" w:hAnsi="Times New Roman" w:eastAsia="Batang" w:cs="Times New Roman"/>
      <w:lang w:eastAsia="ko-KR"/>
    </w:rPr>
  </w:style>
  <w:style w:type="paragraph" w:styleId="ListParagraph">
    <w:name w:val="List Paragraph"/>
    <w:basedOn w:val="Normal"/>
    <w:uiPriority w:val="34"/>
    <w:qFormat/>
    <w:rsid w:val="003123D6"/>
    <w:pPr>
      <w:ind w:left="720"/>
      <w:contextualSpacing/>
    </w:pPr>
    <w:rPr>
      <w:sz w:val="22"/>
      <w:szCs w:val="22"/>
    </w:rPr>
  </w:style>
  <w:style w:type="paragraph" w:styleId="FootnoteText">
    <w:name w:val="footnote text"/>
    <w:basedOn w:val="Normal"/>
    <w:link w:val="FootnoteTextChar"/>
    <w:uiPriority w:val="99"/>
    <w:unhideWhenUsed/>
    <w:rsid w:val="003123D6"/>
  </w:style>
  <w:style w:type="character" w:styleId="FootnoteTextChar" w:customStyle="1">
    <w:name w:val="Footnote Text Char"/>
    <w:basedOn w:val="DefaultParagraphFont"/>
    <w:link w:val="FootnoteText"/>
    <w:uiPriority w:val="99"/>
    <w:rsid w:val="003123D6"/>
    <w:rPr>
      <w:rFonts w:ascii="Times New Roman" w:hAnsi="Times New Roman" w:eastAsia="Batang" w:cs="Times New Roman"/>
      <w:lang w:eastAsia="ko-KR"/>
    </w:rPr>
  </w:style>
  <w:style w:type="character" w:styleId="FootnoteReference">
    <w:name w:val="footnote reference"/>
    <w:basedOn w:val="DefaultParagraphFont"/>
    <w:uiPriority w:val="99"/>
    <w:unhideWhenUsed/>
    <w:rsid w:val="003123D6"/>
    <w:rPr>
      <w:vertAlign w:val="superscript"/>
    </w:rPr>
  </w:style>
  <w:style w:type="character" w:styleId="PageNumber">
    <w:name w:val="page number"/>
    <w:basedOn w:val="DefaultParagraphFont"/>
    <w:uiPriority w:val="99"/>
    <w:semiHidden/>
    <w:unhideWhenUsed/>
    <w:rsid w:val="003123D6"/>
  </w:style>
  <w:style w:type="character" w:styleId="CommentReference">
    <w:name w:val="annotation reference"/>
    <w:basedOn w:val="DefaultParagraphFont"/>
    <w:uiPriority w:val="99"/>
    <w:semiHidden/>
    <w:unhideWhenUsed/>
    <w:rsid w:val="00AA2B4E"/>
    <w:rPr>
      <w:sz w:val="16"/>
      <w:szCs w:val="16"/>
    </w:rPr>
  </w:style>
  <w:style w:type="paragraph" w:styleId="CommentText">
    <w:name w:val="annotation text"/>
    <w:basedOn w:val="Normal"/>
    <w:link w:val="CommentTextChar"/>
    <w:uiPriority w:val="99"/>
    <w:semiHidden/>
    <w:unhideWhenUsed/>
    <w:rsid w:val="00AA2B4E"/>
    <w:rPr>
      <w:sz w:val="20"/>
      <w:szCs w:val="20"/>
    </w:rPr>
  </w:style>
  <w:style w:type="character" w:styleId="CommentTextChar" w:customStyle="1">
    <w:name w:val="Comment Text Char"/>
    <w:basedOn w:val="DefaultParagraphFont"/>
    <w:link w:val="CommentText"/>
    <w:uiPriority w:val="99"/>
    <w:semiHidden/>
    <w:rsid w:val="00AA2B4E"/>
    <w:rPr>
      <w:rFonts w:ascii="Times New Roman" w:hAnsi="Times New Roman" w:eastAsia="Batang"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AA2B4E"/>
    <w:rPr>
      <w:b/>
      <w:bCs/>
    </w:rPr>
  </w:style>
  <w:style w:type="character" w:styleId="CommentSubjectChar" w:customStyle="1">
    <w:name w:val="Comment Subject Char"/>
    <w:basedOn w:val="CommentTextChar"/>
    <w:link w:val="CommentSubject"/>
    <w:uiPriority w:val="99"/>
    <w:semiHidden/>
    <w:rsid w:val="00AA2B4E"/>
    <w:rPr>
      <w:rFonts w:ascii="Times New Roman" w:hAnsi="Times New Roman" w:eastAsia="Batang" w:cs="Times New Roman"/>
      <w:b/>
      <w:bCs/>
      <w:sz w:val="20"/>
      <w:szCs w:val="20"/>
      <w:lang w:eastAsia="ko-KR"/>
    </w:rPr>
  </w:style>
  <w:style w:type="paragraph" w:styleId="BalloonText">
    <w:name w:val="Balloon Text"/>
    <w:basedOn w:val="Normal"/>
    <w:link w:val="BalloonTextChar"/>
    <w:uiPriority w:val="99"/>
    <w:semiHidden/>
    <w:unhideWhenUsed/>
    <w:rsid w:val="00AA2B4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A2B4E"/>
    <w:rPr>
      <w:rFonts w:ascii="Segoe UI" w:hAnsi="Segoe UI" w:eastAsia="Batang" w:cs="Segoe UI"/>
      <w:sz w:val="18"/>
      <w:szCs w:val="1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D6"/>
    <w:rPr>
      <w:rFonts w:ascii="Times New Roman"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3D6"/>
    <w:pPr>
      <w:tabs>
        <w:tab w:val="center" w:pos="4680"/>
        <w:tab w:val="right" w:pos="9360"/>
      </w:tabs>
    </w:pPr>
  </w:style>
  <w:style w:type="character" w:customStyle="1" w:styleId="HeaderChar">
    <w:name w:val="Header Char"/>
    <w:basedOn w:val="DefaultParagraphFont"/>
    <w:link w:val="Header"/>
    <w:uiPriority w:val="99"/>
    <w:rsid w:val="003123D6"/>
    <w:rPr>
      <w:rFonts w:ascii="Times New Roman" w:eastAsia="Batang" w:hAnsi="Times New Roman" w:cs="Times New Roman"/>
      <w:lang w:eastAsia="ko-KR"/>
    </w:rPr>
  </w:style>
  <w:style w:type="paragraph" w:styleId="Footer">
    <w:name w:val="footer"/>
    <w:basedOn w:val="Normal"/>
    <w:link w:val="FooterChar"/>
    <w:uiPriority w:val="99"/>
    <w:unhideWhenUsed/>
    <w:rsid w:val="003123D6"/>
    <w:pPr>
      <w:tabs>
        <w:tab w:val="center" w:pos="4680"/>
        <w:tab w:val="right" w:pos="9360"/>
      </w:tabs>
    </w:pPr>
  </w:style>
  <w:style w:type="character" w:customStyle="1" w:styleId="FooterChar">
    <w:name w:val="Footer Char"/>
    <w:basedOn w:val="DefaultParagraphFont"/>
    <w:link w:val="Footer"/>
    <w:uiPriority w:val="99"/>
    <w:rsid w:val="003123D6"/>
    <w:rPr>
      <w:rFonts w:ascii="Times New Roman" w:eastAsia="Batang" w:hAnsi="Times New Roman" w:cs="Times New Roman"/>
      <w:lang w:eastAsia="ko-KR"/>
    </w:rPr>
  </w:style>
  <w:style w:type="paragraph" w:styleId="ListParagraph">
    <w:name w:val="List Paragraph"/>
    <w:basedOn w:val="Normal"/>
    <w:uiPriority w:val="34"/>
    <w:qFormat/>
    <w:rsid w:val="003123D6"/>
    <w:pPr>
      <w:ind w:left="720"/>
      <w:contextualSpacing/>
    </w:pPr>
    <w:rPr>
      <w:sz w:val="22"/>
      <w:szCs w:val="22"/>
    </w:rPr>
  </w:style>
  <w:style w:type="paragraph" w:styleId="FootnoteText">
    <w:name w:val="footnote text"/>
    <w:basedOn w:val="Normal"/>
    <w:link w:val="FootnoteTextChar"/>
    <w:uiPriority w:val="99"/>
    <w:unhideWhenUsed/>
    <w:rsid w:val="003123D6"/>
  </w:style>
  <w:style w:type="character" w:customStyle="1" w:styleId="FootnoteTextChar">
    <w:name w:val="Footnote Text Char"/>
    <w:basedOn w:val="DefaultParagraphFont"/>
    <w:link w:val="FootnoteText"/>
    <w:uiPriority w:val="99"/>
    <w:rsid w:val="003123D6"/>
    <w:rPr>
      <w:rFonts w:ascii="Times New Roman" w:eastAsia="Batang" w:hAnsi="Times New Roman" w:cs="Times New Roman"/>
      <w:lang w:eastAsia="ko-KR"/>
    </w:rPr>
  </w:style>
  <w:style w:type="character" w:styleId="FootnoteReference">
    <w:name w:val="footnote reference"/>
    <w:basedOn w:val="DefaultParagraphFont"/>
    <w:uiPriority w:val="99"/>
    <w:unhideWhenUsed/>
    <w:rsid w:val="003123D6"/>
    <w:rPr>
      <w:vertAlign w:val="superscript"/>
    </w:rPr>
  </w:style>
  <w:style w:type="character" w:styleId="PageNumber">
    <w:name w:val="page number"/>
    <w:basedOn w:val="DefaultParagraphFont"/>
    <w:uiPriority w:val="99"/>
    <w:semiHidden/>
    <w:unhideWhenUsed/>
    <w:rsid w:val="003123D6"/>
  </w:style>
  <w:style w:type="character" w:styleId="CommentReference">
    <w:name w:val="annotation reference"/>
    <w:basedOn w:val="DefaultParagraphFont"/>
    <w:uiPriority w:val="99"/>
    <w:semiHidden/>
    <w:unhideWhenUsed/>
    <w:rsid w:val="00AA2B4E"/>
    <w:rPr>
      <w:sz w:val="16"/>
      <w:szCs w:val="16"/>
    </w:rPr>
  </w:style>
  <w:style w:type="paragraph" w:styleId="CommentText">
    <w:name w:val="annotation text"/>
    <w:basedOn w:val="Normal"/>
    <w:link w:val="CommentTextChar"/>
    <w:uiPriority w:val="99"/>
    <w:semiHidden/>
    <w:unhideWhenUsed/>
    <w:rsid w:val="00AA2B4E"/>
    <w:rPr>
      <w:sz w:val="20"/>
      <w:szCs w:val="20"/>
    </w:rPr>
  </w:style>
  <w:style w:type="character" w:customStyle="1" w:styleId="CommentTextChar">
    <w:name w:val="Comment Text Char"/>
    <w:basedOn w:val="DefaultParagraphFont"/>
    <w:link w:val="CommentText"/>
    <w:uiPriority w:val="99"/>
    <w:semiHidden/>
    <w:rsid w:val="00AA2B4E"/>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AA2B4E"/>
    <w:rPr>
      <w:b/>
      <w:bCs/>
    </w:rPr>
  </w:style>
  <w:style w:type="character" w:customStyle="1" w:styleId="CommentSubjectChar">
    <w:name w:val="Comment Subject Char"/>
    <w:basedOn w:val="CommentTextChar"/>
    <w:link w:val="CommentSubject"/>
    <w:uiPriority w:val="99"/>
    <w:semiHidden/>
    <w:rsid w:val="00AA2B4E"/>
    <w:rPr>
      <w:rFonts w:ascii="Times New Roman" w:eastAsia="Batang" w:hAnsi="Times New Roman" w:cs="Times New Roman"/>
      <w:b/>
      <w:bCs/>
      <w:sz w:val="20"/>
      <w:szCs w:val="20"/>
      <w:lang w:eastAsia="ko-KR"/>
    </w:rPr>
  </w:style>
  <w:style w:type="paragraph" w:styleId="BalloonText">
    <w:name w:val="Balloon Text"/>
    <w:basedOn w:val="Normal"/>
    <w:link w:val="BalloonTextChar"/>
    <w:uiPriority w:val="99"/>
    <w:semiHidden/>
    <w:unhideWhenUsed/>
    <w:rsid w:val="00AA2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B4E"/>
    <w:rPr>
      <w:rFonts w:ascii="Segoe UI" w:eastAsia="Batang"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7899">
      <w:bodyDiv w:val="1"/>
      <w:marLeft w:val="0"/>
      <w:marRight w:val="0"/>
      <w:marTop w:val="0"/>
      <w:marBottom w:val="0"/>
      <w:divBdr>
        <w:top w:val="none" w:sz="0" w:space="0" w:color="auto"/>
        <w:left w:val="none" w:sz="0" w:space="0" w:color="auto"/>
        <w:bottom w:val="none" w:sz="0" w:space="0" w:color="auto"/>
        <w:right w:val="none" w:sz="0" w:space="0" w:color="auto"/>
      </w:divBdr>
    </w:div>
    <w:div w:id="140007742">
      <w:bodyDiv w:val="1"/>
      <w:marLeft w:val="0"/>
      <w:marRight w:val="0"/>
      <w:marTop w:val="0"/>
      <w:marBottom w:val="0"/>
      <w:divBdr>
        <w:top w:val="none" w:sz="0" w:space="0" w:color="auto"/>
        <w:left w:val="none" w:sz="0" w:space="0" w:color="auto"/>
        <w:bottom w:val="none" w:sz="0" w:space="0" w:color="auto"/>
        <w:right w:val="none" w:sz="0" w:space="0" w:color="auto"/>
      </w:divBdr>
    </w:div>
    <w:div w:id="178393656">
      <w:bodyDiv w:val="1"/>
      <w:marLeft w:val="0"/>
      <w:marRight w:val="0"/>
      <w:marTop w:val="0"/>
      <w:marBottom w:val="0"/>
      <w:divBdr>
        <w:top w:val="none" w:sz="0" w:space="0" w:color="auto"/>
        <w:left w:val="none" w:sz="0" w:space="0" w:color="auto"/>
        <w:bottom w:val="none" w:sz="0" w:space="0" w:color="auto"/>
        <w:right w:val="none" w:sz="0" w:space="0" w:color="auto"/>
      </w:divBdr>
    </w:div>
    <w:div w:id="266158898">
      <w:bodyDiv w:val="1"/>
      <w:marLeft w:val="0"/>
      <w:marRight w:val="0"/>
      <w:marTop w:val="0"/>
      <w:marBottom w:val="0"/>
      <w:divBdr>
        <w:top w:val="none" w:sz="0" w:space="0" w:color="auto"/>
        <w:left w:val="none" w:sz="0" w:space="0" w:color="auto"/>
        <w:bottom w:val="none" w:sz="0" w:space="0" w:color="auto"/>
        <w:right w:val="none" w:sz="0" w:space="0" w:color="auto"/>
      </w:divBdr>
    </w:div>
    <w:div w:id="551888858">
      <w:bodyDiv w:val="1"/>
      <w:marLeft w:val="0"/>
      <w:marRight w:val="0"/>
      <w:marTop w:val="0"/>
      <w:marBottom w:val="0"/>
      <w:divBdr>
        <w:top w:val="none" w:sz="0" w:space="0" w:color="auto"/>
        <w:left w:val="none" w:sz="0" w:space="0" w:color="auto"/>
        <w:bottom w:val="none" w:sz="0" w:space="0" w:color="auto"/>
        <w:right w:val="none" w:sz="0" w:space="0" w:color="auto"/>
      </w:divBdr>
    </w:div>
    <w:div w:id="788016161">
      <w:bodyDiv w:val="1"/>
      <w:marLeft w:val="0"/>
      <w:marRight w:val="0"/>
      <w:marTop w:val="0"/>
      <w:marBottom w:val="0"/>
      <w:divBdr>
        <w:top w:val="none" w:sz="0" w:space="0" w:color="auto"/>
        <w:left w:val="none" w:sz="0" w:space="0" w:color="auto"/>
        <w:bottom w:val="none" w:sz="0" w:space="0" w:color="auto"/>
        <w:right w:val="none" w:sz="0" w:space="0" w:color="auto"/>
      </w:divBdr>
    </w:div>
    <w:div w:id="805782695">
      <w:bodyDiv w:val="1"/>
      <w:marLeft w:val="0"/>
      <w:marRight w:val="0"/>
      <w:marTop w:val="0"/>
      <w:marBottom w:val="0"/>
      <w:divBdr>
        <w:top w:val="none" w:sz="0" w:space="0" w:color="auto"/>
        <w:left w:val="none" w:sz="0" w:space="0" w:color="auto"/>
        <w:bottom w:val="none" w:sz="0" w:space="0" w:color="auto"/>
        <w:right w:val="none" w:sz="0" w:space="0" w:color="auto"/>
      </w:divBdr>
    </w:div>
    <w:div w:id="825517437">
      <w:bodyDiv w:val="1"/>
      <w:marLeft w:val="0"/>
      <w:marRight w:val="0"/>
      <w:marTop w:val="0"/>
      <w:marBottom w:val="0"/>
      <w:divBdr>
        <w:top w:val="none" w:sz="0" w:space="0" w:color="auto"/>
        <w:left w:val="none" w:sz="0" w:space="0" w:color="auto"/>
        <w:bottom w:val="none" w:sz="0" w:space="0" w:color="auto"/>
        <w:right w:val="none" w:sz="0" w:space="0" w:color="auto"/>
      </w:divBdr>
    </w:div>
    <w:div w:id="1165705972">
      <w:bodyDiv w:val="1"/>
      <w:marLeft w:val="0"/>
      <w:marRight w:val="0"/>
      <w:marTop w:val="0"/>
      <w:marBottom w:val="0"/>
      <w:divBdr>
        <w:top w:val="none" w:sz="0" w:space="0" w:color="auto"/>
        <w:left w:val="none" w:sz="0" w:space="0" w:color="auto"/>
        <w:bottom w:val="none" w:sz="0" w:space="0" w:color="auto"/>
        <w:right w:val="none" w:sz="0" w:space="0" w:color="auto"/>
      </w:divBdr>
    </w:div>
    <w:div w:id="1236284287">
      <w:bodyDiv w:val="1"/>
      <w:marLeft w:val="0"/>
      <w:marRight w:val="0"/>
      <w:marTop w:val="0"/>
      <w:marBottom w:val="0"/>
      <w:divBdr>
        <w:top w:val="none" w:sz="0" w:space="0" w:color="auto"/>
        <w:left w:val="none" w:sz="0" w:space="0" w:color="auto"/>
        <w:bottom w:val="none" w:sz="0" w:space="0" w:color="auto"/>
        <w:right w:val="none" w:sz="0" w:space="0" w:color="auto"/>
      </w:divBdr>
    </w:div>
    <w:div w:id="1361853443">
      <w:bodyDiv w:val="1"/>
      <w:marLeft w:val="0"/>
      <w:marRight w:val="0"/>
      <w:marTop w:val="0"/>
      <w:marBottom w:val="0"/>
      <w:divBdr>
        <w:top w:val="none" w:sz="0" w:space="0" w:color="auto"/>
        <w:left w:val="none" w:sz="0" w:space="0" w:color="auto"/>
        <w:bottom w:val="none" w:sz="0" w:space="0" w:color="auto"/>
        <w:right w:val="none" w:sz="0" w:space="0" w:color="auto"/>
      </w:divBdr>
    </w:div>
    <w:div w:id="1429961358">
      <w:bodyDiv w:val="1"/>
      <w:marLeft w:val="0"/>
      <w:marRight w:val="0"/>
      <w:marTop w:val="0"/>
      <w:marBottom w:val="0"/>
      <w:divBdr>
        <w:top w:val="none" w:sz="0" w:space="0" w:color="auto"/>
        <w:left w:val="none" w:sz="0" w:space="0" w:color="auto"/>
        <w:bottom w:val="none" w:sz="0" w:space="0" w:color="auto"/>
        <w:right w:val="none" w:sz="0" w:space="0" w:color="auto"/>
      </w:divBdr>
    </w:div>
    <w:div w:id="1445612002">
      <w:bodyDiv w:val="1"/>
      <w:marLeft w:val="0"/>
      <w:marRight w:val="0"/>
      <w:marTop w:val="0"/>
      <w:marBottom w:val="0"/>
      <w:divBdr>
        <w:top w:val="none" w:sz="0" w:space="0" w:color="auto"/>
        <w:left w:val="none" w:sz="0" w:space="0" w:color="auto"/>
        <w:bottom w:val="none" w:sz="0" w:space="0" w:color="auto"/>
        <w:right w:val="none" w:sz="0" w:space="0" w:color="auto"/>
      </w:divBdr>
    </w:div>
    <w:div w:id="1938249062">
      <w:bodyDiv w:val="1"/>
      <w:marLeft w:val="0"/>
      <w:marRight w:val="0"/>
      <w:marTop w:val="0"/>
      <w:marBottom w:val="0"/>
      <w:divBdr>
        <w:top w:val="none" w:sz="0" w:space="0" w:color="auto"/>
        <w:left w:val="none" w:sz="0" w:space="0" w:color="auto"/>
        <w:bottom w:val="none" w:sz="0" w:space="0" w:color="auto"/>
        <w:right w:val="none" w:sz="0" w:space="0" w:color="auto"/>
      </w:divBdr>
    </w:div>
    <w:div w:id="2014449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6/09/relationships/commentsIds" Target="commentsIds.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 Type="http://schemas.openxmlformats.org/officeDocument/2006/relationships/customXml" Target="../customXml/item2.xml" Id="rId14" /><Relationship Type="http://schemas.openxmlformats.org/officeDocument/2006/relationships/glossaryDocument" Target="/word/glossary/document.xml" Id="R5c403cf6ddd84ca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fe678f3-e82c-4277-812b-30e32c47cb92}"/>
      </w:docPartPr>
      <w:docPartBody>
        <w:p w14:paraId="79F54AA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13" ma:contentTypeDescription="Create a new document." ma:contentTypeScope="" ma:versionID="f0e8f34c18d2bb691f91bcae0e85e1ef">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1c3c00dc3be30a1d0af947c56ba5907a"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description="I believe this is exactly what we're looking for. I've highlighted large paragraphs towards the end of the PDF."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692f8491-03e6-4ae7-9ddc-df7d0f5cb8c3" xsi:nil="true"/>
  </documentManagement>
</p:properties>
</file>

<file path=customXml/itemProps1.xml><?xml version="1.0" encoding="utf-8"?>
<ds:datastoreItem xmlns:ds="http://schemas.openxmlformats.org/officeDocument/2006/customXml" ds:itemID="{8925CE6C-1898-408F-B357-3805D04F52D7}">
  <ds:schemaRefs>
    <ds:schemaRef ds:uri="http://schemas.openxmlformats.org/officeDocument/2006/bibliography"/>
  </ds:schemaRefs>
</ds:datastoreItem>
</file>

<file path=customXml/itemProps2.xml><?xml version="1.0" encoding="utf-8"?>
<ds:datastoreItem xmlns:ds="http://schemas.openxmlformats.org/officeDocument/2006/customXml" ds:itemID="{BF11B952-BDF0-4D75-87CB-985D38761159}"/>
</file>

<file path=customXml/itemProps3.xml><?xml version="1.0" encoding="utf-8"?>
<ds:datastoreItem xmlns:ds="http://schemas.openxmlformats.org/officeDocument/2006/customXml" ds:itemID="{B0C1DB3B-FFAC-48EE-A0E3-961D12887D52}"/>
</file>

<file path=customXml/itemProps4.xml><?xml version="1.0" encoding="utf-8"?>
<ds:datastoreItem xmlns:ds="http://schemas.openxmlformats.org/officeDocument/2006/customXml" ds:itemID="{7EEA20DA-7B7E-4D59-BD87-C1E0533F9A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Kim</dc:creator>
  <cp:lastModifiedBy>Hanne Sandison</cp:lastModifiedBy>
  <cp:revision>3</cp:revision>
  <dcterms:created xsi:type="dcterms:W3CDTF">2019-05-13T22:06:00Z</dcterms:created>
  <dcterms:modified xsi:type="dcterms:W3CDTF">2020-10-20T19:52:32Z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0x010100332CFC731ED71644BDA725946DE47B17</vt:lpwstr>
  </property>
  <property fmtid="{D5CDD505-2E9C-101B-9397-08002B2CF9AE}" pid="3" name="Order">
    <vt:r8>896600</vt:r8>
  </property>
</Properties>
</file>